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072" w:type="dxa"/>
        <w:tblCellMar>
          <w:left w:w="0" w:type="dxa"/>
          <w:right w:w="0" w:type="dxa"/>
        </w:tblCellMar>
        <w:tblLook w:val="01E0" w:firstRow="1" w:lastRow="1" w:firstColumn="1" w:lastColumn="1" w:noHBand="0" w:noVBand="0"/>
      </w:tblPr>
      <w:tblGrid>
        <w:gridCol w:w="6804"/>
        <w:gridCol w:w="2268"/>
      </w:tblGrid>
      <w:tr w:rsidR="00E856D2" w:rsidRPr="00464D35" w:rsidTr="003E2402">
        <w:trPr>
          <w:trHeight w:hRule="exact" w:val="1418"/>
        </w:trPr>
        <w:tc>
          <w:tcPr>
            <w:tcW w:w="6804" w:type="dxa"/>
            <w:shd w:val="clear" w:color="auto" w:fill="auto"/>
            <w:vAlign w:val="center"/>
          </w:tcPr>
          <w:p w:rsidR="00E856D2" w:rsidRPr="00464D35" w:rsidRDefault="001C3927" w:rsidP="003E2402">
            <w:pPr>
              <w:pStyle w:val="EPName"/>
            </w:pPr>
            <w:r w:rsidRPr="00464D35">
              <w:t>Европейски парламент</w:t>
            </w:r>
          </w:p>
          <w:p w:rsidR="00E856D2" w:rsidRPr="00464D35" w:rsidRDefault="00EB2354" w:rsidP="00EB2354">
            <w:pPr>
              <w:pStyle w:val="EPTerm"/>
              <w:rPr>
                <w:rStyle w:val="HideTWBExt"/>
                <w:noProof w:val="0"/>
                <w:vanish w:val="0"/>
                <w:color w:val="auto"/>
              </w:rPr>
            </w:pPr>
            <w:r w:rsidRPr="00464D35">
              <w:t>2014-2019</w:t>
            </w:r>
          </w:p>
        </w:tc>
        <w:tc>
          <w:tcPr>
            <w:tcW w:w="2268" w:type="dxa"/>
            <w:shd w:val="clear" w:color="auto" w:fill="auto"/>
          </w:tcPr>
          <w:p w:rsidR="00E856D2" w:rsidRPr="00464D35" w:rsidRDefault="001C3C3F" w:rsidP="003E2402">
            <w:pPr>
              <w:pStyle w:val="EPLogo"/>
            </w:pPr>
            <w:r w:rsidRPr="00464D35">
              <w:drawing>
                <wp:inline distT="0" distB="0" distL="0" distR="0">
                  <wp:extent cx="1165860" cy="647700"/>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65860" cy="647700"/>
                          </a:xfrm>
                          <a:prstGeom prst="rect">
                            <a:avLst/>
                          </a:prstGeom>
                          <a:noFill/>
                          <a:ln>
                            <a:noFill/>
                          </a:ln>
                        </pic:spPr>
                      </pic:pic>
                    </a:graphicData>
                  </a:graphic>
                </wp:inline>
              </w:drawing>
            </w:r>
          </w:p>
        </w:tc>
      </w:tr>
    </w:tbl>
    <w:p w:rsidR="001746D0" w:rsidRPr="00464D35" w:rsidRDefault="001746D0" w:rsidP="001746D0">
      <w:pPr>
        <w:pStyle w:val="LineTop"/>
      </w:pPr>
    </w:p>
    <w:p w:rsidR="001746D0" w:rsidRPr="00464D35" w:rsidRDefault="001746D0" w:rsidP="001746D0">
      <w:pPr>
        <w:pStyle w:val="ZCommittee"/>
      </w:pPr>
      <w:r w:rsidRPr="00464D35">
        <w:rPr>
          <w:rStyle w:val="HideTWBExt"/>
          <w:noProof w:val="0"/>
        </w:rPr>
        <w:t>&lt;</w:t>
      </w:r>
      <w:r w:rsidRPr="00464D35">
        <w:rPr>
          <w:rStyle w:val="HideTWBExt"/>
          <w:i w:val="0"/>
          <w:noProof w:val="0"/>
        </w:rPr>
        <w:t>Commission</w:t>
      </w:r>
      <w:r w:rsidRPr="00464D35">
        <w:rPr>
          <w:rStyle w:val="HideTWBExt"/>
          <w:noProof w:val="0"/>
        </w:rPr>
        <w:t>&gt;</w:t>
      </w:r>
      <w:r w:rsidRPr="00464D35">
        <w:rPr>
          <w:rStyle w:val="HideTWBInt"/>
        </w:rPr>
        <w:t>{REGI}</w:t>
      </w:r>
      <w:r w:rsidRPr="00464D35">
        <w:t>Комисия по регионално развитие</w:t>
      </w:r>
      <w:r w:rsidRPr="00464D35">
        <w:rPr>
          <w:rStyle w:val="HideTWBExt"/>
          <w:noProof w:val="0"/>
        </w:rPr>
        <w:t>&lt;/</w:t>
      </w:r>
      <w:r w:rsidRPr="00464D35">
        <w:rPr>
          <w:rStyle w:val="HideTWBExt"/>
          <w:i w:val="0"/>
          <w:noProof w:val="0"/>
        </w:rPr>
        <w:t>Commission</w:t>
      </w:r>
      <w:r w:rsidRPr="00464D35">
        <w:rPr>
          <w:rStyle w:val="HideTWBExt"/>
          <w:noProof w:val="0"/>
        </w:rPr>
        <w:t>&gt;</w:t>
      </w:r>
    </w:p>
    <w:p w:rsidR="001746D0" w:rsidRPr="00464D35" w:rsidRDefault="001746D0" w:rsidP="001746D0">
      <w:pPr>
        <w:pStyle w:val="LineBottom"/>
      </w:pPr>
    </w:p>
    <w:p w:rsidR="002E2F2E" w:rsidRPr="00464D35" w:rsidRDefault="002E2F2E">
      <w:pPr>
        <w:pStyle w:val="RefProc"/>
      </w:pPr>
      <w:r w:rsidRPr="00464D35">
        <w:rPr>
          <w:rStyle w:val="HideTWBExt"/>
          <w:b w:val="0"/>
          <w:noProof w:val="0"/>
        </w:rPr>
        <w:t>&lt;</w:t>
      </w:r>
      <w:r w:rsidRPr="00464D35">
        <w:rPr>
          <w:rStyle w:val="HideTWBExt"/>
          <w:b w:val="0"/>
          <w:caps w:val="0"/>
          <w:noProof w:val="0"/>
        </w:rPr>
        <w:t>RefProc</w:t>
      </w:r>
      <w:r w:rsidRPr="00464D35">
        <w:rPr>
          <w:rStyle w:val="HideTWBExt"/>
          <w:b w:val="0"/>
          <w:noProof w:val="0"/>
        </w:rPr>
        <w:t>&gt;</w:t>
      </w:r>
      <w:r w:rsidRPr="00464D35">
        <w:t>2017/2226(INI)</w:t>
      </w:r>
      <w:r w:rsidRPr="00464D35">
        <w:rPr>
          <w:rStyle w:val="HideTWBExt"/>
          <w:b w:val="0"/>
          <w:noProof w:val="0"/>
        </w:rPr>
        <w:t>&lt;/</w:t>
      </w:r>
      <w:r w:rsidRPr="00464D35">
        <w:rPr>
          <w:rStyle w:val="HideTWBExt"/>
          <w:b w:val="0"/>
          <w:caps w:val="0"/>
          <w:noProof w:val="0"/>
        </w:rPr>
        <w:t>RefProc</w:t>
      </w:r>
      <w:r w:rsidRPr="00464D35">
        <w:rPr>
          <w:rStyle w:val="HideTWBExt"/>
          <w:b w:val="0"/>
          <w:noProof w:val="0"/>
        </w:rPr>
        <w:t>&gt;</w:t>
      </w:r>
    </w:p>
    <w:p w:rsidR="002E2F2E" w:rsidRPr="00464D35" w:rsidRDefault="002E2F2E">
      <w:pPr>
        <w:pStyle w:val="ZDate"/>
      </w:pPr>
      <w:r w:rsidRPr="00464D35">
        <w:rPr>
          <w:rStyle w:val="HideTWBExt"/>
          <w:noProof w:val="0"/>
        </w:rPr>
        <w:t>&lt;Date&gt;</w:t>
      </w:r>
      <w:r w:rsidRPr="00464D35">
        <w:rPr>
          <w:rStyle w:val="HideTWBInt"/>
        </w:rPr>
        <w:t>{20/02/2018}</w:t>
      </w:r>
      <w:r w:rsidRPr="00464D35">
        <w:t>20.2.2018</w:t>
      </w:r>
      <w:r w:rsidRPr="00464D35">
        <w:rPr>
          <w:rStyle w:val="HideTWBExt"/>
          <w:noProof w:val="0"/>
        </w:rPr>
        <w:t>&lt;/Date&gt;</w:t>
      </w:r>
    </w:p>
    <w:p w:rsidR="002E2F2E" w:rsidRPr="00464D35" w:rsidRDefault="002E2F2E">
      <w:pPr>
        <w:pStyle w:val="TypeDoc"/>
      </w:pPr>
      <w:r w:rsidRPr="00464D35">
        <w:rPr>
          <w:rStyle w:val="HideTWBExt"/>
          <w:b w:val="0"/>
          <w:noProof w:val="0"/>
        </w:rPr>
        <w:t>&lt;TitreType&gt;</w:t>
      </w:r>
      <w:r w:rsidRPr="00464D35">
        <w:t>СТАНОВИЩЕ</w:t>
      </w:r>
      <w:r w:rsidRPr="00464D35">
        <w:rPr>
          <w:rStyle w:val="HideTWBExt"/>
          <w:b w:val="0"/>
          <w:noProof w:val="0"/>
        </w:rPr>
        <w:t>&lt;/TitreType&gt;</w:t>
      </w:r>
    </w:p>
    <w:p w:rsidR="002E2F2E" w:rsidRPr="00464D35" w:rsidRDefault="002E2F2E">
      <w:pPr>
        <w:pStyle w:val="Cover24"/>
      </w:pPr>
      <w:r w:rsidRPr="00464D35">
        <w:rPr>
          <w:rStyle w:val="HideTWBExt"/>
          <w:noProof w:val="0"/>
        </w:rPr>
        <w:t>&lt;CommissionResp&gt;</w:t>
      </w:r>
      <w:r w:rsidRPr="00464D35">
        <w:t>на комисията по регионално развитие</w:t>
      </w:r>
      <w:r w:rsidRPr="00464D35">
        <w:rPr>
          <w:rStyle w:val="HideTWBExt"/>
          <w:noProof w:val="0"/>
        </w:rPr>
        <w:t>&lt;/CommissionResp&gt;</w:t>
      </w:r>
    </w:p>
    <w:p w:rsidR="002E2F2E" w:rsidRPr="00464D35" w:rsidRDefault="002E2F2E">
      <w:pPr>
        <w:pStyle w:val="Cover24"/>
      </w:pPr>
      <w:r w:rsidRPr="00464D35">
        <w:rPr>
          <w:rStyle w:val="HideTWBExt"/>
          <w:noProof w:val="0"/>
        </w:rPr>
        <w:t>&lt;CommissionInt&gt;</w:t>
      </w:r>
      <w:r w:rsidRPr="00464D35">
        <w:t>на вниманието на комисията по икономически и парични въпроси</w:t>
      </w:r>
      <w:r w:rsidRPr="00464D35">
        <w:rPr>
          <w:rStyle w:val="HideTWBExt"/>
          <w:noProof w:val="0"/>
        </w:rPr>
        <w:t>&lt;/CommissionInt&gt;</w:t>
      </w:r>
    </w:p>
    <w:p w:rsidR="002E2F2E" w:rsidRPr="00464D35" w:rsidRDefault="002E2F2E">
      <w:pPr>
        <w:pStyle w:val="CoverNormal"/>
      </w:pPr>
      <w:r w:rsidRPr="00464D35">
        <w:rPr>
          <w:rStyle w:val="HideTWBExt"/>
          <w:noProof w:val="0"/>
        </w:rPr>
        <w:t>&lt;Titre&gt;</w:t>
      </w:r>
      <w:r w:rsidRPr="00464D35">
        <w:t>относно Европейския семестър за координация на икономическите политики: Годишен обзор на растежа за 2018 г.</w:t>
      </w:r>
      <w:r w:rsidRPr="00464D35">
        <w:rPr>
          <w:rStyle w:val="HideTWBExt"/>
          <w:noProof w:val="0"/>
        </w:rPr>
        <w:t>&lt;/Titre&gt;</w:t>
      </w:r>
    </w:p>
    <w:p w:rsidR="002E2F2E" w:rsidRPr="00464D35" w:rsidRDefault="002E2F2E">
      <w:pPr>
        <w:pStyle w:val="Cover24"/>
      </w:pPr>
      <w:r w:rsidRPr="00464D35">
        <w:rPr>
          <w:rStyle w:val="HideTWBExt"/>
          <w:noProof w:val="0"/>
        </w:rPr>
        <w:t>&lt;DocRef&gt;</w:t>
      </w:r>
      <w:r w:rsidRPr="00464D35">
        <w:t>(2017/2226(</w:t>
      </w:r>
      <w:bookmarkStart w:id="0" w:name="DocEPTmp"/>
      <w:bookmarkEnd w:id="0"/>
      <w:r w:rsidRPr="00464D35">
        <w:t>INI))</w:t>
      </w:r>
      <w:r w:rsidRPr="00464D35">
        <w:rPr>
          <w:rStyle w:val="HideTWBExt"/>
          <w:noProof w:val="0"/>
        </w:rPr>
        <w:t>&lt;/DocRef&gt;</w:t>
      </w:r>
    </w:p>
    <w:p w:rsidR="002E2F2E" w:rsidRPr="00464D35" w:rsidRDefault="001C3927">
      <w:pPr>
        <w:pStyle w:val="Cover24"/>
      </w:pPr>
      <w:r w:rsidRPr="00464D35">
        <w:t xml:space="preserve">Докладчик по становище: </w:t>
      </w:r>
      <w:r w:rsidRPr="00464D35">
        <w:rPr>
          <w:rStyle w:val="HideTWBExt"/>
          <w:noProof w:val="0"/>
        </w:rPr>
        <w:t>&lt;Depute&gt;</w:t>
      </w:r>
      <w:r w:rsidRPr="00464D35">
        <w:t>Искра Михайлова</w:t>
      </w:r>
      <w:r w:rsidRPr="00464D35">
        <w:rPr>
          <w:rStyle w:val="HideTWBExt"/>
          <w:noProof w:val="0"/>
        </w:rPr>
        <w:t>&lt;/Depute&gt;</w:t>
      </w:r>
    </w:p>
    <w:p w:rsidR="00A72C35" w:rsidRPr="00464D35" w:rsidRDefault="00A72C35" w:rsidP="00A72C35">
      <w:pPr>
        <w:pStyle w:val="CoverNormal"/>
      </w:pPr>
    </w:p>
    <w:p w:rsidR="000E7EBF" w:rsidRPr="00464D35" w:rsidRDefault="002E2F2E" w:rsidP="00E856D2">
      <w:pPr>
        <w:widowControl/>
        <w:tabs>
          <w:tab w:val="center" w:pos="4677"/>
        </w:tabs>
      </w:pPr>
      <w:r w:rsidRPr="00464D35">
        <w:br w:type="page"/>
      </w:r>
    </w:p>
    <w:p w:rsidR="002E2F2E" w:rsidRPr="00464D35" w:rsidRDefault="001C3927" w:rsidP="00E856D2">
      <w:pPr>
        <w:widowControl/>
        <w:tabs>
          <w:tab w:val="center" w:pos="4677"/>
        </w:tabs>
      </w:pPr>
      <w:r w:rsidRPr="00464D35">
        <w:lastRenderedPageBreak/>
        <w:t>PA_NonLeg</w:t>
      </w:r>
    </w:p>
    <w:p w:rsidR="002E2F2E" w:rsidRPr="00464D35" w:rsidRDefault="002E2F2E">
      <w:pPr>
        <w:pStyle w:val="PageHeadingNotTOC"/>
      </w:pPr>
      <w:r w:rsidRPr="00464D35">
        <w:br w:type="page"/>
      </w:r>
      <w:r w:rsidRPr="00464D35">
        <w:lastRenderedPageBreak/>
        <w:t>ПРЕДЛОЖЕНИЯ</w:t>
      </w:r>
    </w:p>
    <w:p w:rsidR="002E2F2E" w:rsidRPr="00464D35" w:rsidRDefault="001C3927" w:rsidP="008313E7">
      <w:pPr>
        <w:pStyle w:val="Normal12"/>
      </w:pPr>
      <w:r w:rsidRPr="00464D35">
        <w:t>Комисията по регионално развитие приканва водещата комисия по икономически и парични въпроси да включи в предложението</w:t>
      </w:r>
      <w:bookmarkStart w:id="1" w:name="DocEPTmp2"/>
      <w:bookmarkEnd w:id="1"/>
      <w:r w:rsidRPr="00464D35">
        <w:t xml:space="preserve"> за резолюция, което ще приеме, следните предложения:</w:t>
      </w:r>
    </w:p>
    <w:p w:rsidR="00047754" w:rsidRPr="00464D35" w:rsidRDefault="006C2771" w:rsidP="00047754">
      <w:pPr>
        <w:pStyle w:val="Normal12Hanging"/>
      </w:pPr>
      <w:bookmarkStart w:id="2" w:name="restart"/>
      <w:bookmarkStart w:id="3" w:name="_GoBack"/>
      <w:bookmarkEnd w:id="3"/>
      <w:r w:rsidRPr="00464D35">
        <w:t>1.</w:t>
      </w:r>
      <w:r w:rsidRPr="00464D35">
        <w:tab/>
        <w:t>отбелязва, че европейската икономика показва признаци на възстановяване през последните 18 тримесечия, държавите членки отбелязват положителен и стабилен растеж, а безработицата достига най-ниските си нива от началото на кризата; подчертава обаче, че според последните резултати на индекса на Организацията за икономическо сътрудничество и развитие (ОИСР) за благосъстоянието са налице ясни и дълбоки разделения между обществата и отделните хора от гледна точка на ниво на образование, доход, богатство, възраст и място на раждане; отбелязва, че тези неравенства, особено безработицата сред младите хора и дългосрочната безработица и равнищата на бедност, продължават да са на кризисно  равнище в няколко региона, които все още са в процес на бавно възстановяване; в този контекст обръща внимание на въпроса със структурната безработица и нейните отрицателни икономически, социални и политически последици; изразява своята загриженост, че хората на възраст до 25 години са особено тежко засегнати и при тях има с 60% по-голяма вероятност да бъдат безработни в сравнение с тези на възраст между 25 и 54 години; подчертава, че е важно да се удължи инициативата за младежка заетост за периода 2017 – 2020 г. и бюджетът ѝ да се повиши с 1,2 милиарда евро;</w:t>
      </w:r>
    </w:p>
    <w:p w:rsidR="005C00E4" w:rsidRPr="00464D35" w:rsidRDefault="005C00E4" w:rsidP="005C00E4">
      <w:pPr>
        <w:pStyle w:val="Normal12Hanging"/>
      </w:pPr>
      <w:r w:rsidRPr="00464D35">
        <w:t>2.</w:t>
      </w:r>
      <w:r w:rsidRPr="00464D35">
        <w:tab/>
        <w:t>по тази причина подчертава нуждата от насърчаване на по-голямо сближаване и приобщаване; приветства факта, че Комисията признава, че съществува положителна динамика, която да благоприятства продължаването на  възстановяването чрез икономически растеж, социално сближаване, структурни реформи и териториално сближаване, и че се отказва от своя курс от миналото на мерки за бюджетни ограничения; подчертава, че за да насърчава цялостното си хармонично развитие, Европейският съюз като цяло следва да развива и осъществява действия, които водят до укрепването на неговото икономическо, социално и териториално сближаване и имат за цел намаляването на неравенствата между равнищата на развитие на различните региони и справянето с изостаналостта на най-необлагодетелстваните региони, особено регионите на ЕС с ниски доходи и нисък растеж (изоставащите региони); изтъква нуждата от всеобхватна качествена промяна на съществуващия микс от политики, като на преден план се постави  неотложното прилагане на принципите и правата, обхванати в европейския стълб на социалните права; във връзка с това подчертава, че за политиката на сближаване трябва да бъдат предвидени достатъчно финансови ресурси за периода след 2020 г., и призовава Комисията да внесе подходящо предложение; отбелязва, че инвестирането в иновации, образование и нови умения е необходимо, за да се постигне повишаване на производителността, което е една от предпоставките за по-добри условия за растеж;</w:t>
      </w:r>
    </w:p>
    <w:p w:rsidR="00AC56D3" w:rsidRPr="00464D35" w:rsidRDefault="00AC56D3" w:rsidP="002B62C6">
      <w:pPr>
        <w:pStyle w:val="Normal12Hanging"/>
      </w:pPr>
      <w:r w:rsidRPr="00464D35">
        <w:t>3.</w:t>
      </w:r>
      <w:r w:rsidRPr="00464D35">
        <w:tab/>
        <w:t xml:space="preserve">приветства рационализирането и концентрирането на специфичните за всяка държава препоръки (СВДП); въпреки това изразява загриженост по отношение на </w:t>
      </w:r>
      <w:r w:rsidRPr="00464D35">
        <w:lastRenderedPageBreak/>
        <w:t>неравномерната степен на изпълнение на СВДП както в областите на политиката, така и в държавите; припомня значението на подхода на полезно взаимодействие за използването на всички налични фондове на ЕС и призовава Комисията и държавите членки да работят в тясно сътрудничество и да координират процеса с цел да се осигури подкрепа за засилване на икономическото, социалното и териториалното сближаване и за стимулиране на инвестициите, заетостта и растежа, както и да признаят подкрепящата роля, която местните и регионалните органи могат да имат в този процес; подчертава необходимостта от мерки за изграждане на капацитет и по-нататъшно опростяване на прилагането на фондовете на ЕС, като се има предвид, че в голяма част от СВДП за 2017 г. се разглеждат въпроси за административния капацитет; подчертава, че специфичните за всяка държава препоръки следва да отразяват по-добре особеностите на държавите членки; подчертава нуждата от по-добро полезно взаимодействие между бюджета на ЕС и бюджетите на държавите членки с цел изпълнение на СВДП и постигане на приоритетите на годишния обзор на растежа;</w:t>
      </w:r>
    </w:p>
    <w:p w:rsidR="00550E05" w:rsidRPr="00464D35" w:rsidRDefault="00550E05" w:rsidP="00550E05">
      <w:pPr>
        <w:pStyle w:val="Normal12Hanging"/>
      </w:pPr>
      <w:r w:rsidRPr="00464D35">
        <w:t>4.</w:t>
      </w:r>
      <w:r w:rsidRPr="00464D35">
        <w:tab/>
        <w:t>подчертава важната роля на политиката за сближаване в процеса на възстановяване, тъй като тя е основната политика за публични инвестиции, растеж и развитие, съгласувана с целите на стратегията „Европа 2020“ за интелигентен, устойчив и приобщаващ растеж; припомня, че между 2015 и 2017 г. политиката на сближавате е предоставила финансиране, равно на 8,5% от капиталовите инвестиции на правителствата в Европейския съюз (ЕС) – цифра, която стига до 41% за 13-те държави членки, които се присъединиха последни към ЕС след 2004 г., и до над 50% в седем държави членки; счита, че финансирането следва да се запази поне на подобно бюджетно равнище в бъдещата многогодишна финансова рамка; въпреки това счита, че взаимодействието ѝ с европейския семестър не следва да възпрепятства постигането на нейните собствени цели съгласно предвиденото в Договорите, включително териториалното ѝ измерение, като същевременно това взаимодействие следва да бъде балансирано и да подобри изпълнението на европейските структурни и инвестиционни фондове и да увеличи допълнително мултиплициращия ефект на разходите за сближаване и нейния принос за устойчив и приобщаващ растеж, благоприятстващ създаването на достойни работни места и социално развитие; в този контекст счита, че е полезно да се включат местните и регионалните органи при определянето на параметрите на европейския семестър; посочва, че е нужна по-голяма гъвкавост при определянето на дейностите и проектите, които следва да се финансират от европейските структурни и инвестиционни фондове и да бъдат свързани с годишно определяните СВДП и годишните обзори на растежа;</w:t>
      </w:r>
    </w:p>
    <w:p w:rsidR="00625094" w:rsidRPr="00464D35" w:rsidRDefault="00625094" w:rsidP="00625094">
      <w:pPr>
        <w:pStyle w:val="Normal12Hanging"/>
      </w:pPr>
      <w:r w:rsidRPr="00464D35">
        <w:t>5.</w:t>
      </w:r>
      <w:r w:rsidRPr="00464D35">
        <w:tab/>
        <w:t>отново изтъква необходимостта от ускоряване на прилагането на европейските структурни и инвестиционни фондове, тъй като те са изключително важен инструмент за икономически растеж, устойчиво развитие и създаване на работни места, като по този начин осигуряват важна подкрепа за националните инвестиционни политики и допринасят за съответните структурни реформи; призовава държавите членки да развиват по-силни структури за координация и планиране и рамки за управление, както и по-ефикасни публични администрации, и да намаляват административната тежест, за да бъде тяхното използване по-</w:t>
      </w:r>
      <w:r w:rsidRPr="00464D35">
        <w:lastRenderedPageBreak/>
        <w:t>ефективно и ефикасно; призовава също така Комисията да подпомага държавите членки с всички налични инструменти и ресурси, за да се избегне рискът от отмяна, както и натрупването на неизвършени плащания;</w:t>
      </w:r>
    </w:p>
    <w:p w:rsidR="00625094" w:rsidRPr="00464D35" w:rsidRDefault="00625094" w:rsidP="00625094">
      <w:pPr>
        <w:pStyle w:val="Normal12Hanging"/>
      </w:pPr>
      <w:r w:rsidRPr="00464D35">
        <w:t>6.</w:t>
      </w:r>
      <w:r w:rsidRPr="00464D35">
        <w:tab/>
        <w:t>приветства удължаването на продължителността и увеличаването на обема на Европейския фонд за стратегически инвестиции (ЕФСИ) до 2020 г., за да се помогне за насърчаването на инвестициите, да се предотврати прекъсване на финансирането и да се създаде увереност в предприемачите по проекти, че все още могат да планират проекти след първоначалния инвестиционен период; подчертава нуждата от взаимно допълване и полезно взаимодействие между европейските структурни и инвестиционни фондове, ЕФСИ и други финансови инструменти, както и с хоризонталните програми на Общността, като в същото време европейските структурни и инвестиционни фондове се запазя като основната инвестиционна политика на ЕС; настоява, че ЕФСИ се изпълнява в по-голяма степен по  териториално балансиран начин и така допринася за хармоничното развитие на ЕС и за  избягването на по-нататъшно увеличаване на различията между държавите членки, регионите и хората; припомня, че проектите по удължения ЕФСИ следва да продължават да са насочени към  справяне с неоптимални инвестиционни ситуации и слабости на пазара; призовава за промяна в баланса на териториалното разпределение на инвестициите и за засиленото им използване в по-слабо развитите региони; по тази причина подчертава в този контекст, че е налице по-силна необходимост от улесняване на съчетаването на ЕФСИ с други източници на финансиране от ЕС;</w:t>
      </w:r>
    </w:p>
    <w:p w:rsidR="000D369A" w:rsidRPr="00464D35" w:rsidRDefault="000D369A" w:rsidP="000D369A">
      <w:pPr>
        <w:pStyle w:val="Normal12Hanging"/>
      </w:pPr>
      <w:r w:rsidRPr="00464D35">
        <w:t>7.</w:t>
      </w:r>
      <w:r w:rsidRPr="00464D35">
        <w:tab/>
        <w:t>подчертава ролята на Програмата за подкрепа на структурните реформи (ППСР) при подпомагането на адаптирана към конкретните обстоятелства помощ, за да се помогне на държавите членки да проведат своите реформи с цел засилване на сближаването, като прилагат своевременно правото на ЕС и използват фондовете на ЕС по-ефикасно и ефективно; изтъква, че досегашният опит е показал, че много държави членки са поискали подкрепа по програмата и че исканията за подкрепа са разпределени във всички области на политиката за подкрепа; призовава Комисията да гарантира пълна прозрачност по отношение на изпълнението на програмата в годишния доклад за мониторинг относно конкретните резултати по отделни проекти; във връзка с това подчертава значението на определянето и провеждането на съответните структурни реформи на всички равнища на управление и на премахването на бюрокрацията, която съпътства текущите инвестиции, за да се спомогне за подобряване на прилагането на европейските структурни и инвестиционни фондове и на стопанската и инвестиционната среда;</w:t>
      </w:r>
    </w:p>
    <w:p w:rsidR="000D369A" w:rsidRPr="00464D35" w:rsidRDefault="00F31DC5" w:rsidP="000D369A">
      <w:pPr>
        <w:pStyle w:val="Normal12Hanging"/>
      </w:pPr>
      <w:r w:rsidRPr="00464D35">
        <w:t>8.</w:t>
      </w:r>
      <w:r w:rsidRPr="00464D35">
        <w:tab/>
        <w:t>подчертава необходимостта от сигурност по отношение на ресурсите за финансиране на Програмата за подкрепа на структурните реформи (ППСР) след 2020 г., ресурси, които не следва да бъдат отклонявани от целите и задачите на европейските структурни и инвестиционни фондове.</w:t>
      </w:r>
    </w:p>
    <w:bookmarkEnd w:id="2"/>
    <w:p w:rsidR="00314F47" w:rsidRPr="00464D35" w:rsidRDefault="00314F47" w:rsidP="00314F47">
      <w:r w:rsidRPr="00464D35">
        <w:br w:type="page"/>
      </w:r>
    </w:p>
    <w:p w:rsidR="00B9074D" w:rsidRPr="00464D35" w:rsidRDefault="00B9074D" w:rsidP="00B9074D">
      <w:pPr>
        <w:pStyle w:val="PageHeadingNotTOC"/>
      </w:pPr>
      <w:r w:rsidRPr="00464D35">
        <w:lastRenderedPageBreak/>
        <w:t>ИНФОРМАЦИЯ ОТНОСНО ПРИЕМАНЕТО В ПОДПОМАГАЩАТА КОМИСИЯ</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B9074D" w:rsidRPr="00464D35">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B9074D" w:rsidRPr="00464D35" w:rsidRDefault="00B9074D">
            <w:pPr>
              <w:autoSpaceDE w:val="0"/>
              <w:autoSpaceDN w:val="0"/>
              <w:adjustRightInd w:val="0"/>
              <w:rPr>
                <w:b/>
                <w:bCs/>
                <w:color w:val="000000"/>
                <w:sz w:val="20"/>
              </w:rPr>
            </w:pPr>
            <w:r w:rsidRPr="00464D35">
              <w:rPr>
                <w:b/>
                <w:bCs/>
                <w:color w:val="000000"/>
                <w:sz w:val="20"/>
              </w:rPr>
              <w:t>Дата на приемане</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B9074D" w:rsidRPr="00464D35" w:rsidRDefault="00B9074D">
            <w:pPr>
              <w:autoSpaceDE w:val="0"/>
              <w:autoSpaceDN w:val="0"/>
              <w:adjustRightInd w:val="0"/>
              <w:rPr>
                <w:color w:val="000000"/>
                <w:sz w:val="20"/>
              </w:rPr>
            </w:pPr>
            <w:r w:rsidRPr="00464D35">
              <w:rPr>
                <w:color w:val="000000"/>
                <w:sz w:val="20"/>
              </w:rPr>
              <w:t>20.2.2018</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B9074D" w:rsidRPr="00464D35" w:rsidRDefault="00B9074D">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B9074D" w:rsidRPr="00464D35" w:rsidRDefault="00B9074D">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B9074D" w:rsidRPr="00464D35" w:rsidRDefault="00B9074D">
            <w:pPr>
              <w:autoSpaceDE w:val="0"/>
              <w:autoSpaceDN w:val="0"/>
              <w:adjustRightInd w:val="0"/>
              <w:rPr>
                <w:rFonts w:ascii="sans-serif" w:hAnsi="sans-serif" w:cs="sans-serif"/>
                <w:color w:val="000000"/>
                <w:szCs w:val="24"/>
              </w:rPr>
            </w:pPr>
          </w:p>
        </w:tc>
      </w:tr>
      <w:tr w:rsidR="00B9074D" w:rsidRPr="00464D35">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B9074D" w:rsidRPr="00464D35" w:rsidRDefault="00B9074D">
            <w:pPr>
              <w:autoSpaceDE w:val="0"/>
              <w:autoSpaceDN w:val="0"/>
              <w:adjustRightInd w:val="0"/>
              <w:rPr>
                <w:b/>
                <w:bCs/>
                <w:color w:val="000000"/>
                <w:sz w:val="20"/>
              </w:rPr>
            </w:pPr>
            <w:r w:rsidRPr="00464D35">
              <w:rPr>
                <w:b/>
                <w:bCs/>
                <w:color w:val="000000"/>
                <w:sz w:val="20"/>
              </w:rPr>
              <w:t>Резултат от окончателното гласуване</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B9074D" w:rsidRPr="00464D35" w:rsidRDefault="00B9074D">
            <w:pPr>
              <w:autoSpaceDE w:val="0"/>
              <w:autoSpaceDN w:val="0"/>
              <w:adjustRightInd w:val="0"/>
              <w:rPr>
                <w:color w:val="000000"/>
                <w:sz w:val="20"/>
              </w:rPr>
            </w:pPr>
            <w:r w:rsidRPr="00464D35">
              <w:rPr>
                <w:color w:val="000000"/>
                <w:sz w:val="20"/>
              </w:rPr>
              <w:t>+:</w:t>
            </w:r>
          </w:p>
          <w:p w:rsidR="00B9074D" w:rsidRPr="00464D35" w:rsidRDefault="00B9074D">
            <w:pPr>
              <w:autoSpaceDE w:val="0"/>
              <w:autoSpaceDN w:val="0"/>
              <w:adjustRightInd w:val="0"/>
              <w:rPr>
                <w:color w:val="000000"/>
                <w:sz w:val="20"/>
              </w:rPr>
            </w:pPr>
            <w:r w:rsidRPr="00464D35">
              <w:rPr>
                <w:color w:val="000000"/>
                <w:sz w:val="20"/>
              </w:rPr>
              <w:t>–:</w:t>
            </w:r>
          </w:p>
          <w:p w:rsidR="00B9074D" w:rsidRPr="00464D35" w:rsidRDefault="00B9074D">
            <w:pPr>
              <w:autoSpaceDE w:val="0"/>
              <w:autoSpaceDN w:val="0"/>
              <w:adjustRightInd w:val="0"/>
              <w:rPr>
                <w:color w:val="000000"/>
                <w:sz w:val="20"/>
              </w:rPr>
            </w:pPr>
            <w:r w:rsidRPr="00464D35">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B9074D" w:rsidRPr="00464D35" w:rsidRDefault="00B9074D">
            <w:pPr>
              <w:autoSpaceDE w:val="0"/>
              <w:autoSpaceDN w:val="0"/>
              <w:adjustRightInd w:val="0"/>
              <w:rPr>
                <w:color w:val="000000"/>
                <w:sz w:val="20"/>
              </w:rPr>
            </w:pPr>
            <w:r w:rsidRPr="00464D35">
              <w:rPr>
                <w:color w:val="000000"/>
                <w:sz w:val="20"/>
              </w:rPr>
              <w:t>31</w:t>
            </w:r>
          </w:p>
          <w:p w:rsidR="00B9074D" w:rsidRPr="00464D35" w:rsidRDefault="00B9074D">
            <w:pPr>
              <w:autoSpaceDE w:val="0"/>
              <w:autoSpaceDN w:val="0"/>
              <w:adjustRightInd w:val="0"/>
              <w:rPr>
                <w:color w:val="000000"/>
                <w:sz w:val="20"/>
              </w:rPr>
            </w:pPr>
            <w:r w:rsidRPr="00464D35">
              <w:rPr>
                <w:color w:val="000000"/>
                <w:sz w:val="20"/>
              </w:rPr>
              <w:t>7</w:t>
            </w:r>
          </w:p>
          <w:p w:rsidR="00B9074D" w:rsidRPr="00464D35" w:rsidRDefault="00B9074D">
            <w:pPr>
              <w:autoSpaceDE w:val="0"/>
              <w:autoSpaceDN w:val="0"/>
              <w:adjustRightInd w:val="0"/>
              <w:rPr>
                <w:color w:val="000000"/>
                <w:sz w:val="20"/>
              </w:rPr>
            </w:pPr>
            <w:r w:rsidRPr="00464D35">
              <w:rPr>
                <w:color w:val="000000"/>
                <w:sz w:val="20"/>
              </w:rPr>
              <w:t>0</w:t>
            </w:r>
          </w:p>
        </w:tc>
      </w:tr>
      <w:tr w:rsidR="00B9074D" w:rsidRPr="00464D35">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B9074D" w:rsidRPr="00464D35" w:rsidRDefault="00B9074D">
            <w:pPr>
              <w:autoSpaceDE w:val="0"/>
              <w:autoSpaceDN w:val="0"/>
              <w:adjustRightInd w:val="0"/>
              <w:rPr>
                <w:b/>
                <w:bCs/>
                <w:color w:val="000000"/>
                <w:sz w:val="20"/>
              </w:rPr>
            </w:pPr>
            <w:r w:rsidRPr="00464D35">
              <w:rPr>
                <w:b/>
                <w:bCs/>
                <w:color w:val="000000"/>
                <w:sz w:val="20"/>
              </w:rPr>
              <w:t>Членове, присъствали на окончателното гласуване</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B9074D" w:rsidRPr="00464D35" w:rsidRDefault="00B9074D">
            <w:pPr>
              <w:autoSpaceDE w:val="0"/>
              <w:autoSpaceDN w:val="0"/>
              <w:adjustRightInd w:val="0"/>
              <w:rPr>
                <w:color w:val="000000"/>
                <w:sz w:val="20"/>
              </w:rPr>
            </w:pPr>
            <w:r w:rsidRPr="00464D35">
              <w:rPr>
                <w:color w:val="000000"/>
                <w:sz w:val="20"/>
              </w:rPr>
              <w:t>Mercedes Bresso, Steeve Briois, Andrea Cozzolino, Raymond Finch, John Flack, Iratxe García Pérez, Michela Giuffrida, Krzysztof Hetman, Ivan Jakovčić, Constanze Krehl, Sławomir Kłosowski, Louis-Joseph Manscour, Martina Michels, Iskra Mihaylova, Andrey Novakov, Paul Nuttall, Mirosław Piotrowski, Stanislav Polčák, Liliana Rodrigues, Fernando Ruas, Monika Smolková, Ruža Tomašić, Ramón Luis Valcárcel Siso, Ángela Vallina, Lambert van Nistelrooij, Kerstin Westphal, Joachim Zeller</w:t>
            </w:r>
          </w:p>
        </w:tc>
      </w:tr>
      <w:tr w:rsidR="00B9074D" w:rsidRPr="00464D35">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B9074D" w:rsidRPr="00464D35" w:rsidRDefault="00B9074D">
            <w:pPr>
              <w:autoSpaceDE w:val="0"/>
              <w:autoSpaceDN w:val="0"/>
              <w:adjustRightInd w:val="0"/>
              <w:rPr>
                <w:b/>
                <w:bCs/>
                <w:color w:val="000000"/>
                <w:sz w:val="20"/>
              </w:rPr>
            </w:pPr>
            <w:r w:rsidRPr="00464D35">
              <w:rPr>
                <w:b/>
                <w:bCs/>
                <w:color w:val="000000"/>
                <w:sz w:val="20"/>
              </w:rPr>
              <w:t>Заместници, присъствали на окончателното гласуване</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B9074D" w:rsidRPr="00464D35" w:rsidRDefault="00B9074D">
            <w:pPr>
              <w:autoSpaceDE w:val="0"/>
              <w:autoSpaceDN w:val="0"/>
              <w:adjustRightInd w:val="0"/>
              <w:rPr>
                <w:color w:val="000000"/>
                <w:sz w:val="20"/>
              </w:rPr>
            </w:pPr>
            <w:r w:rsidRPr="00464D35">
              <w:rPr>
                <w:color w:val="000000"/>
                <w:sz w:val="20"/>
              </w:rPr>
              <w:t>Daniel Buda, Andor Deli, Ivana Maletić, Urmas Paet, Tonino Picula, Georgi Pirinski, Bronis Ropė, Milan Zver</w:t>
            </w:r>
          </w:p>
        </w:tc>
      </w:tr>
      <w:tr w:rsidR="00B9074D" w:rsidRPr="00464D35">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B9074D" w:rsidRPr="00464D35" w:rsidRDefault="00B9074D">
            <w:pPr>
              <w:autoSpaceDE w:val="0"/>
              <w:autoSpaceDN w:val="0"/>
              <w:adjustRightInd w:val="0"/>
              <w:rPr>
                <w:b/>
                <w:bCs/>
                <w:color w:val="000000"/>
                <w:sz w:val="20"/>
              </w:rPr>
            </w:pPr>
            <w:r w:rsidRPr="00464D35">
              <w:rPr>
                <w:b/>
                <w:bCs/>
                <w:color w:val="000000"/>
                <w:sz w:val="20"/>
              </w:rPr>
              <w:t>Заместници (чл. 200, пар. 2), присъствали на окончателното гласуване</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B9074D" w:rsidRPr="00464D35" w:rsidRDefault="00B9074D">
            <w:pPr>
              <w:autoSpaceDE w:val="0"/>
              <w:autoSpaceDN w:val="0"/>
              <w:adjustRightInd w:val="0"/>
              <w:rPr>
                <w:color w:val="000000"/>
                <w:sz w:val="20"/>
              </w:rPr>
            </w:pPr>
            <w:r w:rsidRPr="00464D35">
              <w:rPr>
                <w:color w:val="000000"/>
                <w:sz w:val="20"/>
              </w:rPr>
              <w:t>Eleonora Evi, Anna Hedh, Bogdan Brunon Wenta</w:t>
            </w:r>
          </w:p>
        </w:tc>
      </w:tr>
    </w:tbl>
    <w:p w:rsidR="00B9074D" w:rsidRPr="00464D35" w:rsidRDefault="00B9074D">
      <w:pPr>
        <w:autoSpaceDE w:val="0"/>
        <w:autoSpaceDN w:val="0"/>
        <w:adjustRightInd w:val="0"/>
        <w:rPr>
          <w:rFonts w:ascii="Arial" w:hAnsi="Arial" w:cs="Arial"/>
          <w:szCs w:val="24"/>
        </w:rPr>
      </w:pPr>
    </w:p>
    <w:p w:rsidR="00B9074D" w:rsidRPr="00464D35" w:rsidRDefault="00B9074D" w:rsidP="00314F47"/>
    <w:p w:rsidR="00B9074D" w:rsidRPr="00464D35" w:rsidRDefault="00B9074D" w:rsidP="00B9074D">
      <w:r w:rsidRPr="00464D35">
        <w:br w:type="page"/>
      </w:r>
    </w:p>
    <w:p w:rsidR="003B0533" w:rsidRPr="00464D35" w:rsidRDefault="003B0533">
      <w:pPr>
        <w:widowControl/>
      </w:pPr>
    </w:p>
    <w:p w:rsidR="003B0533" w:rsidRPr="00464D35" w:rsidRDefault="003B0533" w:rsidP="003B0533">
      <w:pPr>
        <w:pStyle w:val="PageHeadingNotTOC"/>
      </w:pPr>
      <w:bookmarkStart w:id="4" w:name="RollCallPageAD"/>
      <w:r w:rsidRPr="00464D35">
        <w:t>ПОИМЕННО ОКОНЧАТЕЛНО ГЛАСУВАНЕ В ПОДПОМАГАЩАТА КОМИСИЯ</w:t>
      </w:r>
    </w:p>
    <w:tbl>
      <w:tblPr>
        <w:tblW w:w="9072" w:type="dxa"/>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4A0" w:firstRow="1" w:lastRow="0" w:firstColumn="1" w:lastColumn="0" w:noHBand="0" w:noVBand="1"/>
      </w:tblPr>
      <w:tblGrid>
        <w:gridCol w:w="1701"/>
        <w:gridCol w:w="7371"/>
      </w:tblGrid>
      <w:tr w:rsidR="003B0533" w:rsidRPr="00464D35" w:rsidTr="00FC5015">
        <w:trPr>
          <w:cantSplit/>
        </w:trPr>
        <w:tc>
          <w:tcPr>
            <w:tcW w:w="1701" w:type="dxa"/>
            <w:tcBorders>
              <w:top w:val="double" w:sz="2" w:space="0" w:color="000000"/>
              <w:left w:val="double" w:sz="2" w:space="0" w:color="000000"/>
              <w:bottom w:val="single" w:sz="2" w:space="0" w:color="000000"/>
              <w:right w:val="single" w:sz="2" w:space="0" w:color="000000"/>
            </w:tcBorders>
            <w:shd w:val="pct10" w:color="000000" w:fill="FFFFFF"/>
            <w:vAlign w:val="center"/>
            <w:hideMark/>
          </w:tcPr>
          <w:p w:rsidR="003B0533" w:rsidRPr="00464D35" w:rsidRDefault="003B0533" w:rsidP="00FC5015">
            <w:pPr>
              <w:spacing w:before="120" w:after="120"/>
              <w:jc w:val="center"/>
              <w:rPr>
                <w:b/>
                <w:sz w:val="20"/>
              </w:rPr>
            </w:pPr>
            <w:r w:rsidRPr="00464D35">
              <w:rPr>
                <w:b/>
                <w:sz w:val="20"/>
              </w:rPr>
              <w:t>31</w:t>
            </w:r>
          </w:p>
        </w:tc>
        <w:tc>
          <w:tcPr>
            <w:tcW w:w="7371" w:type="dxa"/>
            <w:tcBorders>
              <w:top w:val="double" w:sz="2" w:space="0" w:color="000000"/>
              <w:left w:val="single" w:sz="2" w:space="0" w:color="000000"/>
              <w:bottom w:val="single" w:sz="2" w:space="0" w:color="000000"/>
              <w:right w:val="double" w:sz="2" w:space="0" w:color="000000"/>
            </w:tcBorders>
            <w:shd w:val="pct10" w:color="000000" w:fill="FFFFFF"/>
            <w:hideMark/>
          </w:tcPr>
          <w:p w:rsidR="003B0533" w:rsidRPr="00464D35" w:rsidRDefault="003B0533">
            <w:pPr>
              <w:spacing w:before="120" w:after="120"/>
              <w:jc w:val="center"/>
              <w:rPr>
                <w:rFonts w:ascii="Arial" w:hAnsi="Arial" w:cs="Arial"/>
                <w:b/>
                <w:sz w:val="28"/>
                <w:szCs w:val="28"/>
              </w:rPr>
            </w:pPr>
            <w:r w:rsidRPr="00464D35">
              <w:rPr>
                <w:rFonts w:ascii="Arial" w:hAnsi="Arial"/>
                <w:b/>
                <w:sz w:val="28"/>
                <w:szCs w:val="28"/>
              </w:rPr>
              <w:t>+</w:t>
            </w:r>
          </w:p>
        </w:tc>
      </w:tr>
      <w:tr w:rsidR="003B0533" w:rsidRPr="00464D35" w:rsidTr="00FC5015">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3B0533" w:rsidRPr="00464D35" w:rsidRDefault="003B0533">
            <w:pPr>
              <w:spacing w:before="120" w:after="120"/>
              <w:rPr>
                <w:sz w:val="20"/>
              </w:rPr>
            </w:pPr>
            <w:r w:rsidRPr="00464D35">
              <w:rPr>
                <w:sz w:val="20"/>
              </w:rPr>
              <w:t>ALDE</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3B0533" w:rsidRPr="00464D35" w:rsidRDefault="003B0533" w:rsidP="003B0533">
            <w:pPr>
              <w:spacing w:before="120" w:after="120"/>
              <w:rPr>
                <w:sz w:val="20"/>
              </w:rPr>
            </w:pPr>
            <w:r w:rsidRPr="00464D35">
              <w:rPr>
                <w:sz w:val="20"/>
              </w:rPr>
              <w:t>Ivan Jakovčić, Iskra Mihaylova, Paet Urmas</w:t>
            </w:r>
          </w:p>
        </w:tc>
      </w:tr>
      <w:tr w:rsidR="003B0533" w:rsidRPr="00464D35" w:rsidTr="00FC5015">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3B0533" w:rsidRPr="00464D35" w:rsidRDefault="003B0533">
            <w:pPr>
              <w:spacing w:before="120" w:after="120"/>
              <w:rPr>
                <w:sz w:val="20"/>
              </w:rPr>
            </w:pPr>
            <w:r w:rsidRPr="00464D35">
              <w:rPr>
                <w:sz w:val="20"/>
              </w:rPr>
              <w:t>ECR</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3B0533" w:rsidRPr="00464D35" w:rsidRDefault="003B0533" w:rsidP="00100390">
            <w:pPr>
              <w:spacing w:before="120" w:after="120"/>
              <w:rPr>
                <w:sz w:val="20"/>
              </w:rPr>
            </w:pPr>
            <w:r w:rsidRPr="00464D35">
              <w:rPr>
                <w:sz w:val="20"/>
              </w:rPr>
              <w:t>John Flack, Sławomir Kłosowski, Mirosław Piotrowski, Ruža Tomašić</w:t>
            </w:r>
          </w:p>
        </w:tc>
      </w:tr>
      <w:tr w:rsidR="003B0533" w:rsidRPr="00464D35" w:rsidTr="00FC5015">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3B0533" w:rsidRPr="00464D35" w:rsidRDefault="003B0533">
            <w:pPr>
              <w:spacing w:before="120" w:after="120"/>
              <w:rPr>
                <w:sz w:val="20"/>
              </w:rPr>
            </w:pPr>
            <w:r w:rsidRPr="00464D35">
              <w:rPr>
                <w:sz w:val="20"/>
              </w:rPr>
              <w:t>PPE</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3B0533" w:rsidRPr="00464D35" w:rsidRDefault="00100390" w:rsidP="00100390">
            <w:pPr>
              <w:spacing w:before="120" w:after="120"/>
              <w:rPr>
                <w:sz w:val="20"/>
              </w:rPr>
            </w:pPr>
            <w:r w:rsidRPr="00464D35">
              <w:rPr>
                <w:sz w:val="20"/>
              </w:rPr>
              <w:t>Daniel Buda, Andor Deli, Krzysztof Hetman, Ivana Maletić, Andrey Novakov, Stanislav Polčák, Fernando Ruas, Ramón Luis Valcárcel Siso, Bogdan Brunon Wenta, Milan Zver, Lambert van Nistelrooij</w:t>
            </w:r>
          </w:p>
        </w:tc>
      </w:tr>
      <w:tr w:rsidR="003B0533" w:rsidRPr="00464D35" w:rsidTr="00FC5015">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3B0533" w:rsidRPr="00464D35" w:rsidRDefault="003B0533">
            <w:pPr>
              <w:spacing w:before="120" w:after="120"/>
              <w:rPr>
                <w:sz w:val="20"/>
              </w:rPr>
            </w:pPr>
            <w:r w:rsidRPr="00464D35">
              <w:rPr>
                <w:sz w:val="20"/>
              </w:rPr>
              <w:t>S&amp;D</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3B0533" w:rsidRPr="00464D35" w:rsidRDefault="00100390" w:rsidP="006E58DC">
            <w:pPr>
              <w:spacing w:before="120" w:after="120"/>
              <w:rPr>
                <w:sz w:val="20"/>
              </w:rPr>
            </w:pPr>
            <w:r w:rsidRPr="00464D35">
              <w:rPr>
                <w:sz w:val="20"/>
              </w:rPr>
              <w:t>Mercedes Bresso, Andrea Cozzolino, Iratxe García Pérez, Michela Giuffrida, Anna Hedh, Constanze Krehl, Louis-Joseph Manscour, Tonino Picula, Georgi Pirinski, Liliana Rodrigues, Monika Smolková, Kerstin Westphal</w:t>
            </w:r>
          </w:p>
        </w:tc>
      </w:tr>
      <w:tr w:rsidR="003B0533" w:rsidRPr="00464D35" w:rsidTr="00FC5015">
        <w:trPr>
          <w:cantSplit/>
        </w:trPr>
        <w:tc>
          <w:tcPr>
            <w:tcW w:w="1701" w:type="dxa"/>
            <w:tcBorders>
              <w:top w:val="single" w:sz="2" w:space="0" w:color="000000"/>
              <w:left w:val="double" w:sz="2" w:space="0" w:color="000000"/>
              <w:bottom w:val="double" w:sz="2" w:space="0" w:color="000000"/>
              <w:right w:val="single" w:sz="2" w:space="0" w:color="000000"/>
            </w:tcBorders>
            <w:shd w:val="clear" w:color="auto" w:fill="FFFFFF"/>
            <w:hideMark/>
          </w:tcPr>
          <w:p w:rsidR="003B0533" w:rsidRPr="00464D35" w:rsidRDefault="003B0533">
            <w:pPr>
              <w:spacing w:before="120" w:after="120"/>
              <w:rPr>
                <w:sz w:val="20"/>
              </w:rPr>
            </w:pPr>
            <w:r w:rsidRPr="00464D35">
              <w:rPr>
                <w:sz w:val="20"/>
              </w:rPr>
              <w:t>VERTS/ALE</w:t>
            </w:r>
          </w:p>
        </w:tc>
        <w:tc>
          <w:tcPr>
            <w:tcW w:w="7371" w:type="dxa"/>
            <w:tcBorders>
              <w:top w:val="single" w:sz="2" w:space="0" w:color="000000"/>
              <w:left w:val="single" w:sz="2" w:space="0" w:color="000000"/>
              <w:bottom w:val="double" w:sz="2" w:space="0" w:color="000000"/>
              <w:right w:val="double" w:sz="2" w:space="0" w:color="000000"/>
            </w:tcBorders>
            <w:shd w:val="clear" w:color="auto" w:fill="FFFFFF"/>
            <w:hideMark/>
          </w:tcPr>
          <w:p w:rsidR="003B0533" w:rsidRPr="00464D35" w:rsidRDefault="00FC5015" w:rsidP="00FC5015">
            <w:pPr>
              <w:spacing w:before="120" w:after="120"/>
              <w:rPr>
                <w:sz w:val="20"/>
              </w:rPr>
            </w:pPr>
            <w:r w:rsidRPr="00464D35">
              <w:rPr>
                <w:sz w:val="20"/>
              </w:rPr>
              <w:t>Bronis Ropė</w:t>
            </w:r>
          </w:p>
        </w:tc>
      </w:tr>
    </w:tbl>
    <w:p w:rsidR="003B0533" w:rsidRPr="00464D35" w:rsidRDefault="003B0533" w:rsidP="003B0533"/>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4A0" w:firstRow="1" w:lastRow="0" w:firstColumn="1" w:lastColumn="0" w:noHBand="0" w:noVBand="1"/>
      </w:tblPr>
      <w:tblGrid>
        <w:gridCol w:w="1701"/>
        <w:gridCol w:w="7371"/>
      </w:tblGrid>
      <w:tr w:rsidR="003B0533" w:rsidRPr="00464D35" w:rsidTr="003B0533">
        <w:trPr>
          <w:cantSplit/>
        </w:trPr>
        <w:tc>
          <w:tcPr>
            <w:tcW w:w="1701" w:type="dxa"/>
            <w:tcBorders>
              <w:top w:val="double" w:sz="2" w:space="0" w:color="000000"/>
              <w:left w:val="double" w:sz="2" w:space="0" w:color="000000"/>
              <w:bottom w:val="single" w:sz="2" w:space="0" w:color="000000"/>
              <w:right w:val="single" w:sz="2" w:space="0" w:color="000000"/>
            </w:tcBorders>
            <w:shd w:val="pct10" w:color="000000" w:fill="FFFFFF"/>
            <w:vAlign w:val="center"/>
            <w:hideMark/>
          </w:tcPr>
          <w:p w:rsidR="003B0533" w:rsidRPr="00464D35" w:rsidRDefault="00FC5015" w:rsidP="00FC5015">
            <w:pPr>
              <w:spacing w:before="120" w:after="120"/>
              <w:jc w:val="center"/>
              <w:rPr>
                <w:b/>
                <w:sz w:val="16"/>
              </w:rPr>
            </w:pPr>
            <w:r w:rsidRPr="00464D35">
              <w:rPr>
                <w:b/>
                <w:sz w:val="20"/>
              </w:rPr>
              <w:t>7</w:t>
            </w:r>
          </w:p>
        </w:tc>
        <w:tc>
          <w:tcPr>
            <w:tcW w:w="7371" w:type="dxa"/>
            <w:tcBorders>
              <w:top w:val="double" w:sz="2" w:space="0" w:color="000000"/>
              <w:left w:val="single" w:sz="2" w:space="0" w:color="000000"/>
              <w:bottom w:val="single" w:sz="2" w:space="0" w:color="000000"/>
              <w:right w:val="double" w:sz="2" w:space="0" w:color="000000"/>
            </w:tcBorders>
            <w:shd w:val="pct10" w:color="000000" w:fill="FFFFFF"/>
            <w:hideMark/>
          </w:tcPr>
          <w:p w:rsidR="003B0533" w:rsidRPr="00464D35" w:rsidRDefault="003B0533">
            <w:pPr>
              <w:spacing w:before="120" w:after="120"/>
              <w:jc w:val="center"/>
              <w:rPr>
                <w:sz w:val="28"/>
                <w:szCs w:val="28"/>
              </w:rPr>
            </w:pPr>
            <w:r w:rsidRPr="00464D35">
              <w:rPr>
                <w:rFonts w:ascii="Arial" w:hAnsi="Arial"/>
                <w:b/>
                <w:sz w:val="28"/>
                <w:szCs w:val="28"/>
              </w:rPr>
              <w:t>-</w:t>
            </w:r>
          </w:p>
        </w:tc>
      </w:tr>
      <w:tr w:rsidR="003B0533" w:rsidRPr="00464D35" w:rsidTr="00FC5015">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3B0533" w:rsidRPr="00464D35" w:rsidRDefault="00FC5015">
            <w:pPr>
              <w:spacing w:before="120" w:after="120"/>
              <w:rPr>
                <w:sz w:val="20"/>
              </w:rPr>
            </w:pPr>
            <w:r w:rsidRPr="00464D35">
              <w:rPr>
                <w:sz w:val="20"/>
              </w:rPr>
              <w:t>EFDD</w:t>
            </w:r>
          </w:p>
        </w:tc>
        <w:tc>
          <w:tcPr>
            <w:tcW w:w="7371" w:type="dxa"/>
            <w:tcBorders>
              <w:top w:val="single" w:sz="2" w:space="0" w:color="000000"/>
              <w:left w:val="single" w:sz="2" w:space="0" w:color="000000"/>
              <w:bottom w:val="single" w:sz="2" w:space="0" w:color="000000"/>
              <w:right w:val="double" w:sz="2" w:space="0" w:color="000000"/>
            </w:tcBorders>
            <w:shd w:val="clear" w:color="auto" w:fill="FFFFFF"/>
          </w:tcPr>
          <w:p w:rsidR="003B0533" w:rsidRPr="00464D35" w:rsidRDefault="00FC5015">
            <w:pPr>
              <w:spacing w:before="120" w:after="120"/>
              <w:rPr>
                <w:sz w:val="20"/>
              </w:rPr>
            </w:pPr>
            <w:r w:rsidRPr="00464D35">
              <w:rPr>
                <w:sz w:val="20"/>
              </w:rPr>
              <w:t>Eleonora Evi, Raymond Finch, Paul Nuttall</w:t>
            </w:r>
          </w:p>
        </w:tc>
      </w:tr>
      <w:tr w:rsidR="00FC5015" w:rsidRPr="00464D35" w:rsidTr="00FC5015">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tcPr>
          <w:p w:rsidR="00FC5015" w:rsidRPr="00464D35" w:rsidRDefault="00FC5015">
            <w:pPr>
              <w:spacing w:before="120" w:after="120"/>
              <w:rPr>
                <w:sz w:val="20"/>
              </w:rPr>
            </w:pPr>
            <w:r w:rsidRPr="00464D35">
              <w:rPr>
                <w:sz w:val="20"/>
              </w:rPr>
              <w:t>ENF</w:t>
            </w:r>
          </w:p>
        </w:tc>
        <w:tc>
          <w:tcPr>
            <w:tcW w:w="7371" w:type="dxa"/>
            <w:tcBorders>
              <w:top w:val="single" w:sz="2" w:space="0" w:color="000000"/>
              <w:left w:val="single" w:sz="2" w:space="0" w:color="000000"/>
              <w:bottom w:val="single" w:sz="2" w:space="0" w:color="000000"/>
              <w:right w:val="double" w:sz="2" w:space="0" w:color="000000"/>
            </w:tcBorders>
            <w:shd w:val="clear" w:color="auto" w:fill="FFFFFF"/>
          </w:tcPr>
          <w:p w:rsidR="00FC5015" w:rsidRPr="00464D35" w:rsidRDefault="00FC5015">
            <w:pPr>
              <w:spacing w:before="120" w:after="120"/>
              <w:rPr>
                <w:sz w:val="20"/>
              </w:rPr>
            </w:pPr>
            <w:r w:rsidRPr="00464D35">
              <w:rPr>
                <w:sz w:val="20"/>
              </w:rPr>
              <w:t>Steeve Briois</w:t>
            </w:r>
          </w:p>
        </w:tc>
      </w:tr>
      <w:tr w:rsidR="00FC5015" w:rsidRPr="00464D35" w:rsidTr="00FC5015">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tcPr>
          <w:p w:rsidR="00FC5015" w:rsidRPr="00464D35" w:rsidRDefault="00FC5015">
            <w:pPr>
              <w:spacing w:before="120" w:after="120"/>
              <w:rPr>
                <w:sz w:val="20"/>
              </w:rPr>
            </w:pPr>
            <w:r w:rsidRPr="00464D35">
              <w:rPr>
                <w:sz w:val="20"/>
              </w:rPr>
              <w:t>GUE/NGL</w:t>
            </w:r>
          </w:p>
        </w:tc>
        <w:tc>
          <w:tcPr>
            <w:tcW w:w="7371" w:type="dxa"/>
            <w:tcBorders>
              <w:top w:val="single" w:sz="2" w:space="0" w:color="000000"/>
              <w:left w:val="single" w:sz="2" w:space="0" w:color="000000"/>
              <w:bottom w:val="single" w:sz="2" w:space="0" w:color="000000"/>
              <w:right w:val="double" w:sz="2" w:space="0" w:color="000000"/>
            </w:tcBorders>
            <w:shd w:val="clear" w:color="auto" w:fill="FFFFFF"/>
          </w:tcPr>
          <w:p w:rsidR="00FC5015" w:rsidRPr="00464D35" w:rsidRDefault="00FC5015">
            <w:pPr>
              <w:spacing w:before="120" w:after="120"/>
              <w:rPr>
                <w:sz w:val="20"/>
              </w:rPr>
            </w:pPr>
            <w:r w:rsidRPr="00464D35">
              <w:rPr>
                <w:sz w:val="20"/>
              </w:rPr>
              <w:t>Martina Michels, Ángela Vallina</w:t>
            </w:r>
          </w:p>
        </w:tc>
      </w:tr>
      <w:tr w:rsidR="00FC5015" w:rsidRPr="00464D35" w:rsidTr="003B0533">
        <w:trPr>
          <w:cantSplit/>
        </w:trPr>
        <w:tc>
          <w:tcPr>
            <w:tcW w:w="1701" w:type="dxa"/>
            <w:tcBorders>
              <w:top w:val="single" w:sz="2" w:space="0" w:color="000000"/>
              <w:left w:val="double" w:sz="2" w:space="0" w:color="000000"/>
              <w:bottom w:val="double" w:sz="2" w:space="0" w:color="000000"/>
              <w:right w:val="single" w:sz="2" w:space="0" w:color="000000"/>
            </w:tcBorders>
            <w:shd w:val="clear" w:color="auto" w:fill="FFFFFF"/>
          </w:tcPr>
          <w:p w:rsidR="00FC5015" w:rsidRPr="00464D35" w:rsidRDefault="00FC5015">
            <w:pPr>
              <w:spacing w:before="120" w:after="120"/>
              <w:rPr>
                <w:sz w:val="20"/>
              </w:rPr>
            </w:pPr>
            <w:r w:rsidRPr="00464D35">
              <w:rPr>
                <w:sz w:val="20"/>
              </w:rPr>
              <w:t>PPE</w:t>
            </w:r>
          </w:p>
        </w:tc>
        <w:tc>
          <w:tcPr>
            <w:tcW w:w="7371" w:type="dxa"/>
            <w:tcBorders>
              <w:top w:val="single" w:sz="2" w:space="0" w:color="000000"/>
              <w:left w:val="single" w:sz="2" w:space="0" w:color="000000"/>
              <w:bottom w:val="double" w:sz="2" w:space="0" w:color="000000"/>
              <w:right w:val="double" w:sz="2" w:space="0" w:color="000000"/>
            </w:tcBorders>
            <w:shd w:val="clear" w:color="auto" w:fill="FFFFFF"/>
          </w:tcPr>
          <w:p w:rsidR="00FC5015" w:rsidRPr="00464D35" w:rsidRDefault="00FC5015">
            <w:pPr>
              <w:spacing w:before="120" w:after="120"/>
              <w:rPr>
                <w:sz w:val="20"/>
              </w:rPr>
            </w:pPr>
            <w:r w:rsidRPr="00464D35">
              <w:rPr>
                <w:sz w:val="20"/>
              </w:rPr>
              <w:t>Joachim Zeller</w:t>
            </w:r>
          </w:p>
        </w:tc>
      </w:tr>
    </w:tbl>
    <w:p w:rsidR="003B0533" w:rsidRPr="00464D35" w:rsidRDefault="003B0533" w:rsidP="003B0533"/>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4A0" w:firstRow="1" w:lastRow="0" w:firstColumn="1" w:lastColumn="0" w:noHBand="0" w:noVBand="1"/>
      </w:tblPr>
      <w:tblGrid>
        <w:gridCol w:w="1701"/>
        <w:gridCol w:w="7371"/>
      </w:tblGrid>
      <w:tr w:rsidR="003B0533" w:rsidRPr="00464D35" w:rsidTr="003B0533">
        <w:trPr>
          <w:cantSplit/>
        </w:trPr>
        <w:tc>
          <w:tcPr>
            <w:tcW w:w="1701" w:type="dxa"/>
            <w:tcBorders>
              <w:top w:val="double" w:sz="2" w:space="0" w:color="000000"/>
              <w:left w:val="double" w:sz="2" w:space="0" w:color="000000"/>
              <w:bottom w:val="single" w:sz="2" w:space="0" w:color="000000"/>
              <w:right w:val="single" w:sz="2" w:space="0" w:color="000000"/>
            </w:tcBorders>
            <w:shd w:val="pct10" w:color="000000" w:fill="FFFFFF"/>
            <w:vAlign w:val="center"/>
            <w:hideMark/>
          </w:tcPr>
          <w:p w:rsidR="003B0533" w:rsidRPr="00464D35" w:rsidRDefault="003B0533">
            <w:pPr>
              <w:spacing w:before="120" w:after="120"/>
              <w:jc w:val="center"/>
              <w:rPr>
                <w:b/>
                <w:sz w:val="16"/>
              </w:rPr>
            </w:pPr>
            <w:r w:rsidRPr="00464D35">
              <w:rPr>
                <w:b/>
                <w:sz w:val="20"/>
              </w:rPr>
              <w:t>0</w:t>
            </w:r>
          </w:p>
        </w:tc>
        <w:tc>
          <w:tcPr>
            <w:tcW w:w="7371" w:type="dxa"/>
            <w:tcBorders>
              <w:top w:val="double" w:sz="2" w:space="0" w:color="000000"/>
              <w:left w:val="single" w:sz="2" w:space="0" w:color="000000"/>
              <w:bottom w:val="single" w:sz="2" w:space="0" w:color="000000"/>
              <w:right w:val="double" w:sz="2" w:space="0" w:color="000000"/>
            </w:tcBorders>
            <w:shd w:val="pct10" w:color="000000" w:fill="FFFFFF"/>
            <w:hideMark/>
          </w:tcPr>
          <w:p w:rsidR="003B0533" w:rsidRPr="00464D35" w:rsidRDefault="003B0533">
            <w:pPr>
              <w:spacing w:before="120" w:after="120"/>
              <w:jc w:val="center"/>
              <w:rPr>
                <w:sz w:val="28"/>
                <w:szCs w:val="28"/>
              </w:rPr>
            </w:pPr>
            <w:r w:rsidRPr="00464D35">
              <w:rPr>
                <w:rFonts w:ascii="Arial" w:hAnsi="Arial"/>
                <w:b/>
                <w:sz w:val="28"/>
                <w:szCs w:val="28"/>
              </w:rPr>
              <w:t>0</w:t>
            </w:r>
          </w:p>
        </w:tc>
      </w:tr>
      <w:tr w:rsidR="003B0533" w:rsidRPr="00464D35" w:rsidTr="003B0533">
        <w:trPr>
          <w:cantSplit/>
        </w:trPr>
        <w:tc>
          <w:tcPr>
            <w:tcW w:w="1701" w:type="dxa"/>
            <w:tcBorders>
              <w:top w:val="single" w:sz="2" w:space="0" w:color="000000"/>
              <w:left w:val="double" w:sz="2" w:space="0" w:color="000000"/>
              <w:bottom w:val="double" w:sz="2" w:space="0" w:color="000000"/>
              <w:right w:val="single" w:sz="2" w:space="0" w:color="000000"/>
            </w:tcBorders>
            <w:shd w:val="clear" w:color="auto" w:fill="FFFFFF"/>
          </w:tcPr>
          <w:p w:rsidR="003B0533" w:rsidRPr="00464D35" w:rsidRDefault="003B0533">
            <w:pPr>
              <w:spacing w:before="120" w:after="120"/>
              <w:rPr>
                <w:sz w:val="20"/>
              </w:rPr>
            </w:pPr>
          </w:p>
        </w:tc>
        <w:tc>
          <w:tcPr>
            <w:tcW w:w="7371" w:type="dxa"/>
            <w:tcBorders>
              <w:top w:val="single" w:sz="2" w:space="0" w:color="000000"/>
              <w:left w:val="single" w:sz="2" w:space="0" w:color="000000"/>
              <w:bottom w:val="double" w:sz="2" w:space="0" w:color="000000"/>
              <w:right w:val="double" w:sz="2" w:space="0" w:color="000000"/>
            </w:tcBorders>
            <w:shd w:val="clear" w:color="auto" w:fill="FFFFFF"/>
          </w:tcPr>
          <w:p w:rsidR="003B0533" w:rsidRPr="00464D35" w:rsidRDefault="003B0533">
            <w:pPr>
              <w:spacing w:before="120" w:after="120"/>
              <w:rPr>
                <w:sz w:val="20"/>
              </w:rPr>
            </w:pPr>
          </w:p>
        </w:tc>
      </w:tr>
    </w:tbl>
    <w:p w:rsidR="003B0533" w:rsidRPr="00464D35" w:rsidRDefault="003B0533" w:rsidP="003B0533">
      <w:pPr>
        <w:pStyle w:val="Normal12"/>
      </w:pPr>
    </w:p>
    <w:p w:rsidR="003B0533" w:rsidRPr="00464D35" w:rsidRDefault="003B0533" w:rsidP="003B0533">
      <w:r w:rsidRPr="00464D35">
        <w:t>Легенда на използваните знаци:</w:t>
      </w:r>
    </w:p>
    <w:p w:rsidR="003B0533" w:rsidRPr="00464D35" w:rsidRDefault="003B0533" w:rsidP="003B0533">
      <w:pPr>
        <w:pStyle w:val="NormalTabs"/>
      </w:pPr>
      <w:r w:rsidRPr="00464D35">
        <w:t>+</w:t>
      </w:r>
      <w:r w:rsidRPr="00464D35">
        <w:tab/>
        <w:t>:</w:t>
      </w:r>
      <w:r w:rsidRPr="00464D35">
        <w:tab/>
        <w:t>„за“</w:t>
      </w:r>
    </w:p>
    <w:p w:rsidR="003B0533" w:rsidRPr="00464D35" w:rsidRDefault="003B0533" w:rsidP="003B0533">
      <w:pPr>
        <w:pStyle w:val="NormalTabs"/>
      </w:pPr>
      <w:r w:rsidRPr="00464D35">
        <w:t>-</w:t>
      </w:r>
      <w:r w:rsidRPr="00464D35">
        <w:tab/>
        <w:t>:</w:t>
      </w:r>
      <w:r w:rsidRPr="00464D35">
        <w:tab/>
        <w:t>„против“</w:t>
      </w:r>
    </w:p>
    <w:p w:rsidR="003B0533" w:rsidRPr="00464D35" w:rsidRDefault="003B0533" w:rsidP="003B0533">
      <w:pPr>
        <w:pStyle w:val="NormalTabs"/>
      </w:pPr>
      <w:r w:rsidRPr="00464D35">
        <w:t>0</w:t>
      </w:r>
      <w:r w:rsidRPr="00464D35">
        <w:tab/>
        <w:t>:</w:t>
      </w:r>
      <w:r w:rsidRPr="00464D35">
        <w:tab/>
        <w:t>„въздържал се“</w:t>
      </w:r>
    </w:p>
    <w:bookmarkEnd w:id="4"/>
    <w:p w:rsidR="003B0533" w:rsidRPr="00464D35" w:rsidRDefault="003B0533" w:rsidP="003B0533"/>
    <w:p w:rsidR="002E2F2E" w:rsidRPr="00464D35" w:rsidRDefault="002E2F2E" w:rsidP="00B9074D"/>
    <w:sectPr w:rsidR="002E2F2E" w:rsidRPr="00464D35" w:rsidSect="00464D35">
      <w:headerReference w:type="even" r:id="rId8"/>
      <w:headerReference w:type="default" r:id="rId9"/>
      <w:footerReference w:type="even" r:id="rId10"/>
      <w:footerReference w:type="default" r:id="rId11"/>
      <w:headerReference w:type="first" r:id="rId12"/>
      <w:footerReference w:type="first" r:id="rId13"/>
      <w:footnotePr>
        <w:numRestart w:val="eachPage"/>
      </w:footnotePr>
      <w:endnotePr>
        <w:numFmt w:val="decimal"/>
      </w:endnotePr>
      <w:pgSz w:w="11906" w:h="16838" w:code="9"/>
      <w:pgMar w:top="1134" w:right="1418" w:bottom="1418" w:left="1418" w:header="567" w:footer="567"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3927" w:rsidRPr="00464D35" w:rsidRDefault="001C3927">
      <w:r w:rsidRPr="00464D35">
        <w:separator/>
      </w:r>
    </w:p>
  </w:endnote>
  <w:endnote w:type="continuationSeparator" w:id="0">
    <w:p w:rsidR="001C3927" w:rsidRPr="00464D35" w:rsidRDefault="001C3927">
      <w:r w:rsidRPr="00464D3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10022FF" w:usb1="C000E47F" w:usb2="00000029" w:usb3="00000000" w:csb0="000001DF" w:csb1="00000000"/>
  </w:font>
  <w:font w:name="sans-serif">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4D35" w:rsidRPr="00464D35" w:rsidRDefault="00464D35" w:rsidP="00464D35">
    <w:pPr>
      <w:pStyle w:val="Footer"/>
    </w:pPr>
    <w:r w:rsidRPr="00464D35">
      <w:t>PE</w:t>
    </w:r>
    <w:r w:rsidRPr="00464D35">
      <w:rPr>
        <w:rStyle w:val="HideTWBExt"/>
        <w:noProof w:val="0"/>
      </w:rPr>
      <w:t>&lt;NoPE&gt;</w:t>
    </w:r>
    <w:r w:rsidRPr="00464D35">
      <w:t>615.485</w:t>
    </w:r>
    <w:r w:rsidRPr="00464D35">
      <w:rPr>
        <w:rStyle w:val="HideTWBExt"/>
        <w:noProof w:val="0"/>
      </w:rPr>
      <w:t>&lt;/NoPE&gt;&lt;Version&gt;</w:t>
    </w:r>
    <w:r w:rsidRPr="00464D35">
      <w:t>v02-00</w:t>
    </w:r>
    <w:r w:rsidRPr="00464D35">
      <w:rPr>
        <w:rStyle w:val="HideTWBExt"/>
        <w:noProof w:val="0"/>
      </w:rPr>
      <w:t>&lt;/Version&gt;</w:t>
    </w:r>
    <w:r w:rsidRPr="00464D35">
      <w:tab/>
    </w:r>
    <w:r w:rsidRPr="00464D35">
      <w:fldChar w:fldCharType="begin"/>
    </w:r>
    <w:r w:rsidRPr="00464D35">
      <w:instrText xml:space="preserve"> PAGE  \* MERGEFORMAT </w:instrText>
    </w:r>
    <w:r w:rsidRPr="00464D35">
      <w:fldChar w:fldCharType="separate"/>
    </w:r>
    <w:r w:rsidR="00EF4A2D">
      <w:rPr>
        <w:noProof/>
      </w:rPr>
      <w:t>2</w:t>
    </w:r>
    <w:r w:rsidRPr="00464D35">
      <w:fldChar w:fldCharType="end"/>
    </w:r>
    <w:r w:rsidRPr="00464D35">
      <w:t>/</w:t>
    </w:r>
    <w:fldSimple w:instr=" NUMPAGES  \* MERGEFORMAT ">
      <w:r w:rsidR="00EF4A2D">
        <w:rPr>
          <w:noProof/>
        </w:rPr>
        <w:t>7</w:t>
      </w:r>
    </w:fldSimple>
    <w:r w:rsidRPr="00464D35">
      <w:tab/>
    </w:r>
    <w:r w:rsidRPr="00464D35">
      <w:rPr>
        <w:rStyle w:val="HideTWBExt"/>
        <w:noProof w:val="0"/>
      </w:rPr>
      <w:t>&lt;PathFdR&gt;</w:t>
    </w:r>
    <w:r w:rsidRPr="00464D35">
      <w:t>AD\1146149BG.docx</w:t>
    </w:r>
    <w:r w:rsidRPr="00464D35">
      <w:rPr>
        <w:rStyle w:val="HideTWBExt"/>
        <w:noProof w:val="0"/>
      </w:rPr>
      <w:t>&lt;/PathFdR&gt;</w:t>
    </w:r>
  </w:p>
  <w:p w:rsidR="002E2F2E" w:rsidRPr="00464D35" w:rsidRDefault="00464D35" w:rsidP="00464D35">
    <w:pPr>
      <w:pStyle w:val="Footer2"/>
    </w:pPr>
    <w:r w:rsidRPr="00464D35">
      <w:t>BG</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4D35" w:rsidRPr="00464D35" w:rsidRDefault="00464D35" w:rsidP="00464D35">
    <w:pPr>
      <w:pStyle w:val="Footer"/>
    </w:pPr>
    <w:r w:rsidRPr="00464D35">
      <w:rPr>
        <w:rStyle w:val="HideTWBExt"/>
        <w:noProof w:val="0"/>
      </w:rPr>
      <w:t>&lt;PathFdR&gt;</w:t>
    </w:r>
    <w:r w:rsidRPr="00464D35">
      <w:t>AD\1146149BG.docx</w:t>
    </w:r>
    <w:r w:rsidRPr="00464D35">
      <w:rPr>
        <w:rStyle w:val="HideTWBExt"/>
        <w:noProof w:val="0"/>
      </w:rPr>
      <w:t>&lt;/PathFdR&gt;</w:t>
    </w:r>
    <w:r w:rsidRPr="00464D35">
      <w:tab/>
    </w:r>
    <w:r w:rsidRPr="00464D35">
      <w:fldChar w:fldCharType="begin"/>
    </w:r>
    <w:r w:rsidRPr="00464D35">
      <w:instrText xml:space="preserve"> PAGE  \* MERGEFORMAT </w:instrText>
    </w:r>
    <w:r w:rsidRPr="00464D35">
      <w:fldChar w:fldCharType="separate"/>
    </w:r>
    <w:r w:rsidR="00EF4A2D">
      <w:rPr>
        <w:noProof/>
      </w:rPr>
      <w:t>3</w:t>
    </w:r>
    <w:r w:rsidRPr="00464D35">
      <w:fldChar w:fldCharType="end"/>
    </w:r>
    <w:r w:rsidRPr="00464D35">
      <w:t>/</w:t>
    </w:r>
    <w:fldSimple w:instr=" NUMPAGES  \* MERGEFORMAT ">
      <w:r w:rsidR="00EF4A2D">
        <w:rPr>
          <w:noProof/>
        </w:rPr>
        <w:t>7</w:t>
      </w:r>
    </w:fldSimple>
    <w:r w:rsidRPr="00464D35">
      <w:tab/>
      <w:t>PE</w:t>
    </w:r>
    <w:r w:rsidRPr="00464D35">
      <w:rPr>
        <w:rStyle w:val="HideTWBExt"/>
        <w:noProof w:val="0"/>
      </w:rPr>
      <w:t>&lt;NoPE&gt;</w:t>
    </w:r>
    <w:r w:rsidRPr="00464D35">
      <w:t>615.485</w:t>
    </w:r>
    <w:r w:rsidRPr="00464D35">
      <w:rPr>
        <w:rStyle w:val="HideTWBExt"/>
        <w:noProof w:val="0"/>
      </w:rPr>
      <w:t>&lt;/NoPE&gt;&lt;Version&gt;</w:t>
    </w:r>
    <w:r w:rsidRPr="00464D35">
      <w:t>v02-00</w:t>
    </w:r>
    <w:r w:rsidRPr="00464D35">
      <w:rPr>
        <w:rStyle w:val="HideTWBExt"/>
        <w:noProof w:val="0"/>
      </w:rPr>
      <w:t>&lt;/Version&gt;</w:t>
    </w:r>
  </w:p>
  <w:p w:rsidR="002E2F2E" w:rsidRPr="00464D35" w:rsidRDefault="00464D35" w:rsidP="00464D35">
    <w:pPr>
      <w:pStyle w:val="Footer2"/>
    </w:pPr>
    <w:r w:rsidRPr="00464D35">
      <w:tab/>
      <w:t>BG</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4D35" w:rsidRPr="00464D35" w:rsidRDefault="00464D35" w:rsidP="00464D35">
    <w:pPr>
      <w:pStyle w:val="Footer"/>
    </w:pPr>
    <w:r w:rsidRPr="00464D35">
      <w:rPr>
        <w:rStyle w:val="HideTWBExt"/>
        <w:noProof w:val="0"/>
      </w:rPr>
      <w:t>&lt;PathFdR&gt;</w:t>
    </w:r>
    <w:r w:rsidRPr="00464D35">
      <w:t>AD\1146149BG.docx</w:t>
    </w:r>
    <w:r w:rsidRPr="00464D35">
      <w:rPr>
        <w:rStyle w:val="HideTWBExt"/>
        <w:noProof w:val="0"/>
      </w:rPr>
      <w:t>&lt;/PathFdR&gt;</w:t>
    </w:r>
    <w:r w:rsidRPr="00464D35">
      <w:tab/>
    </w:r>
    <w:r w:rsidRPr="00464D35">
      <w:tab/>
      <w:t>PE</w:t>
    </w:r>
    <w:r w:rsidRPr="00464D35">
      <w:rPr>
        <w:rStyle w:val="HideTWBExt"/>
        <w:noProof w:val="0"/>
      </w:rPr>
      <w:t>&lt;NoPE&gt;</w:t>
    </w:r>
    <w:r w:rsidRPr="00464D35">
      <w:t>615.485</w:t>
    </w:r>
    <w:r w:rsidRPr="00464D35">
      <w:rPr>
        <w:rStyle w:val="HideTWBExt"/>
        <w:noProof w:val="0"/>
      </w:rPr>
      <w:t>&lt;/NoPE&gt;&lt;Version&gt;</w:t>
    </w:r>
    <w:r w:rsidRPr="00464D35">
      <w:t>v02-00</w:t>
    </w:r>
    <w:r w:rsidRPr="00464D35">
      <w:rPr>
        <w:rStyle w:val="HideTWBExt"/>
        <w:noProof w:val="0"/>
      </w:rPr>
      <w:t>&lt;/Version&gt;</w:t>
    </w:r>
  </w:p>
  <w:p w:rsidR="002E2F2E" w:rsidRPr="00464D35" w:rsidRDefault="00464D35" w:rsidP="00464D35">
    <w:pPr>
      <w:pStyle w:val="Footer2"/>
      <w:tabs>
        <w:tab w:val="center" w:pos="4535"/>
      </w:tabs>
    </w:pPr>
    <w:r w:rsidRPr="00464D35">
      <w:t>BG</w:t>
    </w:r>
    <w:r w:rsidRPr="00464D35">
      <w:tab/>
    </w:r>
    <w:r w:rsidRPr="00464D35">
      <w:rPr>
        <w:b w:val="0"/>
        <w:i/>
        <w:color w:val="C0C0C0"/>
        <w:sz w:val="22"/>
      </w:rPr>
      <w:t>Единство в многообразието</w:t>
    </w:r>
    <w:r w:rsidRPr="00464D35">
      <w:tab/>
      <w:t>BG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3927" w:rsidRPr="00464D35" w:rsidRDefault="001C3927">
      <w:r w:rsidRPr="00464D35">
        <w:separator/>
      </w:r>
    </w:p>
  </w:footnote>
  <w:footnote w:type="continuationSeparator" w:id="0">
    <w:p w:rsidR="001C3927" w:rsidRPr="00464D35" w:rsidRDefault="001C3927">
      <w:r w:rsidRPr="00464D35">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4A2D" w:rsidRDefault="00EF4A2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4A2D" w:rsidRDefault="00EF4A2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4A2D" w:rsidRDefault="00EF4A2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bordersDoNotSurroundHeader/>
  <w:bordersDoNotSurroundFooter/>
  <w:activeWritingStyle w:appName="MSWord" w:lang="it-IT" w:vendorID="64" w:dllVersion="131078" w:nlCheck="1" w:checkStyle="0"/>
  <w:activeWritingStyle w:appName="MSWord" w:lang="fr-FR" w:vendorID="64" w:dllVersion="131078" w:nlCheck="1" w:checkStyle="0"/>
  <w:activeWritingStyle w:appName="MSWord" w:lang="es-ES_tradnl" w:vendorID="64" w:dllVersion="131078" w:nlCheck="1" w:checkStyle="0"/>
  <w:activeWritingStyle w:appName="MSWord" w:lang="en-GB" w:vendorID="64" w:dllVersion="131078" w:nlCheck="1" w:checkStyle="1"/>
  <w:activeWritingStyle w:appName="MSWord" w:lang="en-US" w:vendorID="64" w:dllVersion="131078" w:nlCheck="1" w:checkStyle="1"/>
  <w:activeWritingStyle w:appName="MSWord" w:lang="nl-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Page"/>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JMNU" w:val="1"/>
    <w:docVar w:name="COM2KEY" w:val="ECON"/>
    <w:docVar w:name="COMKEY" w:val="REGI"/>
    <w:docVar w:name="CopyToNetwork" w:val="-1"/>
    <w:docVar w:name="LastEditedSection" w:val=" 1"/>
    <w:docVar w:name="PROCMNU" w:val=" 1"/>
    <w:docVar w:name="RepeatBlock-AmendEN" w:val="{\rtf1\adeflang1025\ansi\ansicpg1252\uc1\adeff0\deff0\stshfdbch0\stshfloch0\stshfhich0\stshfbi0\deflang2057\deflangfe2057\themelang2057\themelangfe0\themelangcs0{\fonttbl{\f0\fbidi \froman\fcharset0\fprq2{\*\panose 02020603050405020304}Times New Roman;}{\f34\fbidi \froman\fcharset0\fprq2{\*\panose 02040503050406030204}Cambria Math;}_x000d__x000a_{\flomajor\f31500\fbidi \froman\fcharset0\fprq2{\*\panose 02020603050405020304}Times New Roman;}{\fdbmajor\f31501\fbidi \froman\fcharset0\fprq2{\*\panose 02020603050405020304}Times New Roman;}_x000d__x000a_{\fhimajor\f31502\fbidi \fswiss\fcharset0\fprq2{\*\panose 020f0302020204030204}Calibri Light;}{\fbimajor\f31503\fbidi \froman\fcharset0\fprq2{\*\panose 02020603050405020304}Times New Roman;}_x000d__x000a_{\flominor\f31504\fbidi \froman\fcharset0\fprq2{\*\panose 02020603050405020304}Times New Roman;}{\fdbminor\f31505\fbidi \froman\fcharset0\fprq2{\*\panose 02020603050405020304}Times New Roman;}_x000d__x000a_{\fhiminor\f31506\fbidi \fswiss\fcharset0\fprq2{\*\panose 020f0502020204030204}Calibri;}{\fbiminor\f31507\fbidi \froman\fcharset0\fprq2{\*\panose 02020603050405020304}Times New Roman;}{\f309\fbidi \froman\fcharset238\fprq2 Times New Roman CE;}_x000d__x000a_{\f310\fbidi \froman\fcharset204\fprq2 Times New Roman Cyr;}{\f312\fbidi \froman\fcharset161\fprq2 Times New Roman Greek;}{\f313\fbidi \froman\fcharset162\fprq2 Times New Roman Tur;}{\f314\fbidi \froman\fcharset177\fprq2 Times New Roman (Hebrew);}_x000d__x000a_{\f315\fbidi \froman\fcharset178\fprq2 Times New Roman (Arabic);}{\f316\fbidi \froman\fcharset186\fprq2 Times New Roman Baltic;}{\f317\fbidi \froman\fcharset163\fprq2 Times New Roman (Vietnamese);}{\f649\fbidi \froman\fcharset238\fprq2 Cambria Math CE;}_x000d__x000a_{\f650\fbidi \froman\fcharset204\fprq2 Cambria Math Cyr;}{\f652\fbidi \froman\fcharset161\fprq2 Cambria Math Greek;}{\f653\fbidi \froman\fcharset162\fprq2 Cambria Math Tur;}{\f656\fbidi \froman\fcharset186\fprq2 Cambria Math Baltic;}_x000d__x000a_{\f657\fbidi \froman\fcharset163\fprq2 Cambria Math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5\fbidi \fswiss\fcharset186\fprq2 Calibri Light Baltic;}{\fhimajor\f31536\fbidi \fswiss\fcharset163\fprq2 Calibri Light (Vietnamese);}{\fbimajor\f31538\fbidi \froman\fcharset238\fprq2 Times New Roman CE;}_x000d__x000a_{\fbimajor\f31539\fbidi \froman\fcharset204\fprq2 Times New Roman Cyr;}{\fbimajor\f31541\fbidi \froman\fcharset161\fprq2 Times New Roman Greek;}{\fbimajor\f31542\fbidi \froman\fcharset162\fprq2 Times New Roman Tur;}_x000d__x000a_{\fbimajor\f31543\fbidi \froman\fcharset177\fprq2 Times New Roman (Hebrew);}{\fbimajor\f31544\fbidi \froman\fcharset178\fprq2 Times New Roman (Arabic);}{\fbimajor\f31545\fbidi \froman\fcharset186\fprq2 Times New Roman Baltic;}_x000d__x000a_{\fbimajor\f31546\fbidi \froman\fcharset163\fprq2 Times New Roman (Vietnamese);}{\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5\fbidi \fswiss\fcharset186\fprq2 Calibri Baltic;}{\fhiminor\f31576\fbidi \fswiss\fcharset163\fprq2 Calibri (Vietnamese);}{\fbiminor\f31578\fbidi \froman\fcharset238\fprq2 Times New Roman CE;}_x000d__x000a_{\fbiminor\f31579\fbidi \froman\fcharset204\fprq2 Times New Roman Cyr;}{\fbiminor\f31581\fbidi \froman\fcharset161\fprq2 Times New Roman Greek;}{\fbiminor\f31582\fbidi \froman\fcharset162\fprq2 Times New Roman Tur;}_x000d__x000a_{\fbiminor\f31583\fbidi \froman\fcharset177\fprq2 Times New Roman (Hebrew);}{\fbiminor\f31584\fbidi \froman\fcharset178\fprq2 Times New Roman (Arabic);}{\fbiminor\f31585\fbidi \froman\fcharset186\fprq2 Times New Roman Baltic;}_x000d__x000a_{\fbiminor\f31586\fbidi \froman\fcharset163\fprq2 Times New Roman (Vietnamese);}}{\colortbl;\red0\green0\blue0;\red0\green0\blue255;\red0\green255\blue255;\red0\green255\blue0;\red255\green0\blue255;\red255\green0\blue0;\red255\green255\blue0;_x000d__x000a_\red255\green255\blue255;\red0\green0\blue128;\red0\green128\blue128;\red0\green128\blue0;\red128\green0\blue128;\red128\green0\blue0;\red128\green128\blue0;\red128\green128\blue128;\red192\green192\blue192;}{\*\defchp }{\*\defpap _x000d__x000a_\ql \li0\ri0\widctlpar\wrapdefault\aspalpha\aspnum\faauto\adjustright\rin0\lin0\itap0 }\noqfpromote {\stylesheet{\ql \li0\ri0\widctlpar\wrapdefault\aspalpha\aspnum\faauto\adjustright\rin0\lin0\itap0 \rtlch\fcs1 \af0\afs20\alang1025 \ltrch\fcs0 _x000d__x000a_\fs24\lang2057\langfe2057\cgrid\langnp2057\langfenp2057 \snext0 \sqformat \spriority0 Normal;}{\*\cs10 \additive \ssemihidden \spriority0 Default Paragraph Font;}{\*_x000d__x000a_\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cf15 \spriority0 \styrsid8851420 HideTWBInt;}{\s16\ql \fi-567\li567\ri0\sa240\nowidctlpar\wrapdefault\aspalpha\aspnum\faauto\adjustright\rin0\lin567\itap0 \rtlch\fcs1 \af0\afs20\alang1025 \ltrch\fcs0 _x000d__x000a_\fs24\lang2057\langfe2057\cgrid\langnp2057\langfenp2057 \sbasedon0 \snext16 \spriority0 \styrsid8851420 Normal12Hanging;}}{\*\rsidtbl \rsid24658\rsid735077\rsid809923\rsid2892074\rsid4666813\rsid6641733\rsid8851420\rsid9636012\rsid11215221\rsid12154954_x000d__x000a_\rsid14424199\rsid15204470\rsid15285974\rsid15950462\rsid16324206\rsid16662270}{\mmathPr\mmathFont34\mbrkBin0\mbrkBinSub0\msmallFrac0\mdispDef1\mlMargin0\mrMargin0\mdefJc1\mwrapIndent1440\mintLim0\mnaryLim1}{\info{\author MANYIK Krisztina}_x000d__x000a_{\operator MANYIK Krisztina}{\creatim\yr2018\mo2\dy19\hr16\min41}{\revtim\yr2018\mo2\dy19\hr16\min41}{\version1}{\edmins0}{\nofpages1}{\nofwords1}{\nofchars12}{\*\company European Parliament}{\nofcharsws12}{\vern57443}}{\*\xmlnstbl {\xmlns1 http://schemas_x000d__x000a_.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851420\utinl \fet0{\*\wgrffmtfilter 013f}\ilfomacatclnup0{\*\template C:\\Users\\kmanyik.EP\\AppData\\Local\\Temp\\Blank1.dot}{\*\ftnsep \ltrpar \pard\plain \ltrpar_x000d__x000a_\ql \li0\ri0\widctlpar\wrapdefault\aspalpha\aspnum\faauto\adjustright\rin0\lin0\itap0 \rtlch\fcs1 \af0\afs20\alang1025 \ltrch\fcs0 \fs24\lang2057\langfe2057\cgrid\langnp2057\langfenp2057 {\rtlch\fcs1 \af0 \ltrch\fcs0 \insrsid809923 \chftnsep _x000d__x000a_\par }}{\*\ftnsepc \ltrpar \pard\plain \ltrpar\ql \li0\ri0\widctlpar\wrapdefault\aspalpha\aspnum\faauto\adjustright\rin0\lin0\itap0 \rtlch\fcs1 \af0\afs20\alang1025 \ltrch\fcs0 \fs24\lang2057\langfe2057\cgrid\langnp2057\langfenp2057 {\rtlch\fcs1 \af0 _x000d__x000a_\ltrch\fcs0 \insrsid809923 \chftnsepc _x000d__x000a_\par }}{\*\aftnsep \ltrpar \pard\plain \ltrpar\ql \li0\ri0\widctlpar\wrapdefault\aspalpha\aspnum\faauto\adjustright\rin0\lin0\itap0 \rtlch\fcs1 \af0\afs20\alang1025 \ltrch\fcs0 \fs24\lang2057\langfe2057\cgrid\langnp2057\langfenp2057 {\rtlch\fcs1 \af0 _x000d__x000a_\ltrch\fcs0 \insrsid809923 \chftnsep _x000d__x000a_\par }}{\*\aftnsepc \ltrpar \pard\plain \ltrpar\ql \li0\ri0\widctlpar\wrapdefault\aspalpha\aspnum\faauto\adjustright\rin0\lin0\itap0 \rtlch\fcs1 \af0\afs20\alang1025 \ltrch\fcs0 \fs24\lang2057\langfe2057\cgrid\langnp2057\langfenp2057 {\rtlch\fcs1 \af0 _x000d__x000a_\ltrch\fcs0 \insrsid809923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fi-567\li567\ri0\sa240\nowidctlpar\wrapdefault\aspalpha\aspnum\faauto\adjustright\rin0\lin567\itap0\pararsid14704152 \rtlch\fcs1 \af0\afs20\alang1025 \ltrch\fcs0 \fs24\lang2057\langfe2057\cgrid\langnp2057\langfenp2057 {\rtlch\fcs1 \af0 _x000d__x000a_\ltrch\fcs0 \insrsid8851420\charrsid1849639 {\*\bkmkstart restart}#}{\rtlch\fcs1 \af0 \ltrch\fcs0 \cs15\v\cf15\insrsid8851420\charrsid1849639 NRMSG}{\rtlch\fcs1 \af0 \ltrch\fcs0 \insrsid8851420\charrsid1849639 #.\tab ##}{\rtlch\fcs1 \af0 \ltrch\fcs0 _x000d__x000a_\insrsid8851420\charrsid16324206 {\*\bkmkend restart}_x000d__x000a_\par }\pard\plain \ltrpar\ql \li0\ri0\widctlpar\wrapdefault\aspalpha\aspnum\faauto\adjustright\rin0\lin0\itap0\pararsid16324206 \rtlch\fcs1 \af0\afs20\alang1025 \ltrch\fcs0 \fs24\lang2057\langfe2057\cgrid\langnp2057\langfenp2057 {\rtlch\fcs1 \af0 \ltrch\fcs0 _x000d__x000a_\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71_x000d__x000a_5b1a98a9d3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34\fbidi \froman\fcharset0\fprq2{\*\panose 02040503050406030204}Cambria Math;}_x000d__x000a_{\flomajor\f31500\fbidi \froman\fcharset0\fprq2{\*\panose 02020603050405020304}Times New Roman;}{\fdbmajor\f31501\fbidi \froman\fcharset0\fprq2{\*\panose 02020603050405020304}Times New Roman;}_x000d__x000a_{\fhimajor\f31502\fbidi \fswiss\fcharset0\fprq2{\*\panose 020f0302020204030204}Calibri Light;}{\fbimajor\f31503\fbidi \froman\fcharset0\fprq2{\*\panose 02020603050405020304}Times New Roman;}_x000d__x000a_{\flominor\f31504\fbidi \froman\fcharset0\fprq2{\*\panose 02020603050405020304}Times New Roman;}{\fdbminor\f31505\fbidi \froman\fcharset0\fprq2{\*\panose 02020603050405020304}Times New Roman;}_x000d__x000a_{\fhiminor\f31506\fbidi \fswiss\fcharset0\fprq2{\*\panose 020f0502020204030204}Calibri;}{\fbiminor\f31507\fbidi \froman\fcharset0\fprq2{\*\panose 02020603050405020304}Times New Roman;}{\f309\fbidi \froman\fcharset238\fprq2 Times New Roman CE;}_x000d__x000a_{\f310\fbidi \froman\fcharset204\fprq2 Times New Roman Cyr;}{\f312\fbidi \froman\fcharset161\fprq2 Times New Roman Greek;}{\f313\fbidi \froman\fcharset162\fprq2 Times New Roman Tur;}{\f314\fbidi \froman\fcharset177\fprq2 Times New Roman (Hebrew);}_x000d__x000a_{\f315\fbidi \froman\fcharset178\fprq2 Times New Roman (Arabic);}{\f316\fbidi \froman\fcharset186\fprq2 Times New Roman Baltic;}{\f317\fbidi \froman\fcharset163\fprq2 Times New Roman (Vietnamese);}{\f649\fbidi \froman\fcharset238\fprq2 Cambria Math CE;}_x000d__x000a_{\f650\fbidi \froman\fcharset204\fprq2 Cambria Math Cyr;}{\f652\fbidi \froman\fcharset161\fprq2 Cambria Math Greek;}{\f653\fbidi \froman\fcharset162\fprq2 Cambria Math Tur;}{\f656\fbidi \froman\fcharset186\fprq2 Cambria Math Baltic;}_x000d__x000a_{\f657\fbidi \froman\fcharset163\fprq2 Cambria Math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5\fbidi \fswiss\fcharset186\fprq2 Calibri Light Baltic;}{\fhimajor\f31536\fbidi \fswiss\fcharset163\fprq2 Calibri Light (Vietnamese);}{\fbimajor\f31538\fbidi \froman\fcharset238\fprq2 Times New Roman CE;}_x000d__x000a_{\fbimajor\f31539\fbidi \froman\fcharset204\fprq2 Times New Roman Cyr;}{\fbimajor\f31541\fbidi \froman\fcharset161\fprq2 Times New Roman Greek;}{\fbimajor\f31542\fbidi \froman\fcharset162\fprq2 Times New Roman Tur;}_x000d__x000a_{\fbimajor\f31543\fbidi \froman\fcharset177\fprq2 Times New Roman (Hebrew);}{\fbimajor\f31544\fbidi \froman\fcharset178\fprq2 Times New Roman (Arabic);}{\fbimajor\f31545\fbidi \froman\fcharset186\fprq2 Times New Roman Baltic;}_x000d__x000a_{\fbimajor\f31546\fbidi \froman\fcharset163\fprq2 Times New Roman (Vietnamese);}{\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5\fbidi \fswiss\fcharset186\fprq2 Calibri Baltic;}{\fhiminor\f31576\fbidi \fswiss\fcharset163\fprq2 Calibri (Vietnamese);}{\fbiminor\f31578\fbidi \froman\fcharset238\fprq2 Times New Roman CE;}_x000d__x000a_{\fbiminor\f31579\fbidi \froman\fcharset204\fprq2 Times New Roman Cyr;}{\fbiminor\f31581\fbidi \froman\fcharset161\fprq2 Times New Roman Greek;}{\fbiminor\f31582\fbidi \froman\fcharset162\fprq2 Times New Roman Tur;}_x000d__x000a_{\fbiminor\f31583\fbidi \froman\fcharset177\fprq2 Times New Roman (Hebrew);}{\fbiminor\f31584\fbidi \froman\fcharset178\fprq2 Times New Roman (Arabic);}{\fbiminor\f31585\fbidi \froman\fcharset186\fprq2 Times New Roman Baltic;}_x000d__x000a_{\fbiminor\f31586\fbidi \froman\fcharset163\fprq2 Times New Roman (Vietnamese);}}{\colortbl;\red0\green0\blue0;\red0\green0\blue255;\red0\green255\blue255;\red0\green255\blue0;\red255\green0\blue255;\red255\green0\blue0;\red255\green255\blue0;_x000d__x000a_\red255\green255\blue255;\red0\green0\blue128;\red0\green128\blue128;\red0\green128\blue0;\red128\green0\blue128;\red128\green0\blue0;\red128\green128\blue0;\red128\green128\blue128;\red192\green192\blue192;}{\*\defchp }{\*\defpap _x000d__x000a_\ql \li0\ri0\widctlpar\wrapdefault\aspalpha\aspnum\faauto\adjustright\rin0\lin0\itap0 }\noqfpromote {\stylesheet{\ql \li0\ri0\widctlpar\wrapdefault\aspalpha\aspnum\faauto\adjustright\rin0\lin0\itap0 \rtlch\fcs1 \af0\afs20\alang1025 \ltrch\fcs0 _x000d__x000a_\fs24\lang2057\langfe2057\cgrid\langnp2057\langfenp2057 \snext0 \sqformat \spriority0 Normal;}{\*\cs10 \additive \ssemihidden \spriority0 Default Paragraph Font;}{\*_x000d__x000a_\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_x000d__x000a_\s15\ql \fi-567\li567\ri0\sa240\nowidctlpar\wrapdefault\aspalpha\aspnum\faauto\adjustright\rin0\lin567\itap0 \rtlch\fcs1 \af0\afs20\alang1025 \ltrch\fcs0 \fs24\lang2057\langfe2057\cgrid\langnp2057\langfenp2057 _x000d__x000a_\sbasedon0 \snext15 \spriority0 \styrsid15868574 Normal12Hanging;}}{\*\rsidtbl \rsid24658\rsid735077\rsid2892074\rsid4666813\rsid6641733\rsid8065855\rsid9636012\rsid11215221\rsid12154954\rsid14424199\rsid15204470\rsid15285974\rsid15868574\rsid15950462_x000d__x000a_\rsid16324206\rsid16662270}{\mmathPr\mmathFont34\mbrkBin0\mbrkBinSub0\msmallFrac0\mdispDef1\mlMargin0\mrMargin0\mdefJc1\mwrapIndent1440\mintLim0\mnaryLim1}{\info{\author MANYIK Krisztina}{\operator MANYIK Krisztina}{\creatim\yr2018\mo2\dy19\hr16\min41}_x000d__x000a_{\revtim\yr2018\mo2\dy19\hr16\min41}{\version1}{\edmins0}{\nofpages1}{\nofwords5}{\nofchars30}{\*\company European Parliament}{\nofcharsws34}{\vern57443}}{\*\xmlnstbl {\xmlns1 http://schemas.microsoft.com/office/word/2003/wordml}}_x000d__x000a_\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868574\utinl \fet0{\*\wgrffmtfilter 013f}\ilfomacatclnup0{\*\template C:\\Users\\kmanyik.EP\\AppData\\Local\\Temp\\Blank1.dot}{\*\ftnsep \ltrpar \pard\plain \ltrpar_x000d__x000a_\ql \li0\ri0\widctlpar\wrapdefault\aspalpha\aspnum\faauto\adjustright\rin0\lin0\itap0 \rtlch\fcs1 \af0\afs20\alang1025 \ltrch\fcs0 \fs24\lang2057\langfe2057\cgrid\langnp2057\langfenp2057 {\rtlch\fcs1 \af0 \ltrch\fcs0 \insrsid8065855 \chftnsep _x000d__x000a_\par }}{\*\ftnsepc \ltrpar \pard\plain \ltrpar\ql \li0\ri0\widctlpar\wrapdefault\aspalpha\aspnum\faauto\adjustright\rin0\lin0\itap0 \rtlch\fcs1 \af0\afs20\alang1025 \ltrch\fcs0 \fs24\lang2057\langfe2057\cgrid\langnp2057\langfenp2057 {\rtlch\fcs1 \af0 _x000d__x000a_\ltrch\fcs0 \insrsid8065855 \chftnsepc _x000d__x000a_\par }}{\*\aftnsep \ltrpar \pard\plain \ltrpar\ql \li0\ri0\widctlpar\wrapdefault\aspalpha\aspnum\faauto\adjustright\rin0\lin0\itap0 \rtlch\fcs1 \af0\afs20\alang1025 \ltrch\fcs0 \fs24\lang2057\langfe2057\cgrid\langnp2057\langfenp2057 {\rtlch\fcs1 \af0 _x000d__x000a_\ltrch\fcs0 \insrsid8065855 \chftnsep _x000d__x000a_\par }}{\*\aftnsepc \ltrpar \pard\plain \ltrpar\ql \li0\ri0\widctlpar\wrapdefault\aspalpha\aspnum\faauto\adjustright\rin0\lin0\itap0 \rtlch\fcs1 \af0\afs20\alang1025 \ltrch\fcs0 \fs24\lang2057\langfe2057\cgrid\langnp2057\langfenp2057 {\rtlch\fcs1 \af0 _x000d__x000a_\ltrch\fcs0 \insrsid806585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5\ql \fi-567\li567\ri0\sa240\nowidctlpar\wrapdefault\aspalpha\aspnum\faauto\adjustright\rin0\lin567\itap0\pararsid4471344 \rtlch\fcs1 \af0\afs20\alang1025 \ltrch\fcs0 \fs24\lang2057\langfe2057\cgrid\langnp2057\langfenp2057 {\rtlch\fcs1 \af0 _x000d__x000a_\ltrch\fcs0 \insrsid15868574\charrsid1525456 {\*\bkmkstart restart}[ZSUGGESTIONNR]\tab [ZSUGGESTIONTEXT]}{\rtlch\fcs1 \af0 \ltrch\fcs0 \insrsid15868574\charrsid16324206 {\*\bkmkend restart}_x000d__x000a_\par }\pard\plain \ltrpar\ql \li0\ri0\widctlpar\wrapdefault\aspalpha\aspnum\faauto\adjustright\rin0\lin0\itap0\pararsid16324206 \rtlch\fcs1 \af0\afs20\alang1025 \ltrch\fcs0 \fs24\lang2057\langfe2057\cgrid\langnp2057\langfenp2057 {\rtlch\fcs1 \af0 \ltrch\fcs0 _x000d__x000a_\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87_x000d__x000a_7b1b98a9d3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NonLeg"/>
    <w:docVar w:name="strSubDir" w:val="1146"/>
    <w:docVar w:name="TXTLANGUE" w:val="EN"/>
    <w:docVar w:name="TXTLANGUEMIN" w:val="en"/>
    <w:docVar w:name="TXTNRPE" w:val="615.485"/>
    <w:docVar w:name="TXTNRPROC" w:val="2017/2226"/>
    <w:docVar w:name="TXTPEorAP" w:val="PE"/>
    <w:docVar w:name="TXTROUTE" w:val="AD\1146149XT.docx"/>
    <w:docVar w:name="TXTTITLE" w:val="European Semester for economic policy coordination: Annual Growth Survey 2018"/>
    <w:docVar w:name="TXTVERSION" w:val="02-00"/>
  </w:docVars>
  <w:rsids>
    <w:rsidRoot w:val="001C3927"/>
    <w:rsid w:val="00017397"/>
    <w:rsid w:val="00047754"/>
    <w:rsid w:val="000B4A4A"/>
    <w:rsid w:val="000D369A"/>
    <w:rsid w:val="000E7EBF"/>
    <w:rsid w:val="00100390"/>
    <w:rsid w:val="00140BE6"/>
    <w:rsid w:val="0016635E"/>
    <w:rsid w:val="001746D0"/>
    <w:rsid w:val="00176E32"/>
    <w:rsid w:val="00194057"/>
    <w:rsid w:val="001A4461"/>
    <w:rsid w:val="001C3927"/>
    <w:rsid w:val="001C3C3F"/>
    <w:rsid w:val="001D2ED9"/>
    <w:rsid w:val="002558F7"/>
    <w:rsid w:val="00256483"/>
    <w:rsid w:val="00291DD9"/>
    <w:rsid w:val="002B62C6"/>
    <w:rsid w:val="002B73B6"/>
    <w:rsid w:val="002C3CB5"/>
    <w:rsid w:val="002C4CB5"/>
    <w:rsid w:val="002E2F2E"/>
    <w:rsid w:val="00314F47"/>
    <w:rsid w:val="00325BCB"/>
    <w:rsid w:val="00374918"/>
    <w:rsid w:val="00390EB2"/>
    <w:rsid w:val="00396A0E"/>
    <w:rsid w:val="003B0533"/>
    <w:rsid w:val="003B37C9"/>
    <w:rsid w:val="003E0679"/>
    <w:rsid w:val="003E2402"/>
    <w:rsid w:val="004225D4"/>
    <w:rsid w:val="00446907"/>
    <w:rsid w:val="00464D35"/>
    <w:rsid w:val="0048325C"/>
    <w:rsid w:val="004B240D"/>
    <w:rsid w:val="004C28FB"/>
    <w:rsid w:val="004C7C34"/>
    <w:rsid w:val="00550E05"/>
    <w:rsid w:val="00574752"/>
    <w:rsid w:val="005863CF"/>
    <w:rsid w:val="005B2F11"/>
    <w:rsid w:val="005C00E4"/>
    <w:rsid w:val="005D09C7"/>
    <w:rsid w:val="005D60C6"/>
    <w:rsid w:val="00625094"/>
    <w:rsid w:val="00657AFB"/>
    <w:rsid w:val="006605C2"/>
    <w:rsid w:val="00696408"/>
    <w:rsid w:val="006A447B"/>
    <w:rsid w:val="006C2771"/>
    <w:rsid w:val="006E58DC"/>
    <w:rsid w:val="007A3475"/>
    <w:rsid w:val="007A42D0"/>
    <w:rsid w:val="008313E7"/>
    <w:rsid w:val="00833CDD"/>
    <w:rsid w:val="008378AC"/>
    <w:rsid w:val="008525A9"/>
    <w:rsid w:val="008A32C5"/>
    <w:rsid w:val="008F7002"/>
    <w:rsid w:val="00986B6C"/>
    <w:rsid w:val="00A16BEA"/>
    <w:rsid w:val="00A571F4"/>
    <w:rsid w:val="00A72C35"/>
    <w:rsid w:val="00AB15AB"/>
    <w:rsid w:val="00AB7318"/>
    <w:rsid w:val="00AC4896"/>
    <w:rsid w:val="00AC56D3"/>
    <w:rsid w:val="00B362F7"/>
    <w:rsid w:val="00B8362B"/>
    <w:rsid w:val="00B9074D"/>
    <w:rsid w:val="00BC3AAE"/>
    <w:rsid w:val="00BD1EAA"/>
    <w:rsid w:val="00BF6774"/>
    <w:rsid w:val="00C42E80"/>
    <w:rsid w:val="00C94B58"/>
    <w:rsid w:val="00CE198D"/>
    <w:rsid w:val="00CF593B"/>
    <w:rsid w:val="00D3208B"/>
    <w:rsid w:val="00DB49B5"/>
    <w:rsid w:val="00DD0598"/>
    <w:rsid w:val="00E64B33"/>
    <w:rsid w:val="00E7643B"/>
    <w:rsid w:val="00E823C9"/>
    <w:rsid w:val="00E856D2"/>
    <w:rsid w:val="00EA3750"/>
    <w:rsid w:val="00EB2354"/>
    <w:rsid w:val="00EF4A2D"/>
    <w:rsid w:val="00F31DC5"/>
    <w:rsid w:val="00F61AD3"/>
    <w:rsid w:val="00FC5015"/>
    <w:rsid w:val="00FD0D14"/>
    <w:rsid w:val="00FF15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F917DB0-4ECD-4123-82C2-D13164EA2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bg-BG"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spacing w:before="240" w:after="60"/>
      <w:outlineLvl w:val="1"/>
    </w:pPr>
    <w:rPr>
      <w:rFonts w:ascii="Arial" w:hAnsi="Arial"/>
      <w:b/>
      <w:i/>
    </w:rPr>
  </w:style>
  <w:style w:type="paragraph" w:styleId="Heading3">
    <w:name w:val="heading 3"/>
    <w:basedOn w:val="Normal"/>
    <w:next w:val="Normal"/>
    <w:qFormat/>
    <w:pPr>
      <w:keepNext/>
      <w:spacing w:before="240" w:after="60"/>
      <w:outlineLvl w:val="2"/>
    </w:pPr>
    <w:rPr>
      <w:rFonts w:ascii="Arial" w:hAnsi="Arial"/>
    </w:rPr>
  </w:style>
  <w:style w:type="paragraph" w:styleId="Heading4">
    <w:name w:val="heading 4"/>
    <w:basedOn w:val="Normal"/>
    <w:next w:val="Normal"/>
    <w:qFormat/>
    <w:pPr>
      <w:keepNext/>
      <w:spacing w:before="240" w:after="60"/>
      <w:outlineLvl w:val="3"/>
    </w:pPr>
    <w:rPr>
      <w:rFonts w:ascii="Arial" w:hAnsi="Arial"/>
      <w:b/>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rPr>
  </w:style>
  <w:style w:type="paragraph" w:styleId="Heading8">
    <w:name w:val="heading 8"/>
    <w:basedOn w:val="Normal"/>
    <w:next w:val="Normal"/>
    <w:qFormat/>
    <w:pPr>
      <w:spacing w:before="240" w:after="60"/>
      <w:outlineLvl w:val="7"/>
    </w:pPr>
    <w:rPr>
      <w:rFonts w:ascii="Arial" w:hAnsi="Arial"/>
      <w:i/>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Footer">
    <w:name w:val="footer"/>
    <w:basedOn w:val="Normal12a12b"/>
    <w:pPr>
      <w:tabs>
        <w:tab w:val="center" w:pos="4535"/>
        <w:tab w:val="right" w:pos="9071"/>
      </w:tabs>
    </w:pPr>
    <w:rPr>
      <w:sz w:val="22"/>
    </w:rPr>
  </w:style>
  <w:style w:type="paragraph" w:customStyle="1" w:styleId="Normal12a12b">
    <w:name w:val="Normal12a12b"/>
    <w:basedOn w:val="Normal"/>
    <w:pPr>
      <w:spacing w:before="240" w:after="240"/>
    </w:pPr>
  </w:style>
  <w:style w:type="paragraph" w:customStyle="1" w:styleId="Footer2">
    <w:name w:val="Footer2"/>
    <w:basedOn w:val="Normal"/>
    <w:pPr>
      <w:widowControl/>
      <w:tabs>
        <w:tab w:val="right" w:pos="9921"/>
      </w:tabs>
      <w:spacing w:after="240"/>
      <w:ind w:left="-850" w:right="-850"/>
    </w:pPr>
    <w:rPr>
      <w:rFonts w:ascii="Arial" w:hAnsi="Arial" w:cs="Arial"/>
      <w:b/>
      <w:sz w:val="48"/>
    </w:rPr>
  </w:style>
  <w:style w:type="paragraph" w:customStyle="1" w:styleId="Normal12">
    <w:name w:val="Normal12"/>
    <w:basedOn w:val="Normal"/>
    <w:qFormat/>
    <w:pPr>
      <w:spacing w:after="240"/>
    </w:pPr>
  </w:style>
  <w:style w:type="paragraph" w:styleId="TOC1">
    <w:name w:val="toc 1"/>
    <w:basedOn w:val="Normal12"/>
    <w:next w:val="Normal12"/>
    <w:autoRedefine/>
    <w:semiHidden/>
  </w:style>
  <w:style w:type="paragraph" w:styleId="TOCHeading">
    <w:name w:val="TOC Heading"/>
    <w:basedOn w:val="Normal12"/>
    <w:next w:val="Normal12"/>
    <w:qFormat/>
    <w:pPr>
      <w:keepNext/>
      <w:spacing w:before="240"/>
      <w:jc w:val="center"/>
    </w:pPr>
    <w:rPr>
      <w:rFonts w:ascii="Arial" w:hAnsi="Arial"/>
      <w:b/>
    </w:rPr>
  </w:style>
  <w:style w:type="paragraph" w:customStyle="1" w:styleId="TOCPage">
    <w:name w:val="TOC Page"/>
    <w:basedOn w:val="Normal12"/>
    <w:next w:val="TOC1"/>
    <w:pPr>
      <w:keepNext/>
      <w:jc w:val="right"/>
    </w:pPr>
    <w:rPr>
      <w:rFonts w:ascii="Arial" w:hAnsi="Arial"/>
      <w:b/>
    </w:rPr>
  </w:style>
  <w:style w:type="character" w:customStyle="1" w:styleId="HideTWBInt">
    <w:name w:val="HideTWBInt"/>
    <w:rPr>
      <w:vanish/>
      <w:color w:val="808080"/>
    </w:rPr>
  </w:style>
  <w:style w:type="paragraph" w:customStyle="1" w:styleId="TableofEntries">
    <w:name w:val="Table of Entries"/>
    <w:basedOn w:val="Normal12"/>
    <w:pPr>
      <w:widowControl/>
      <w:tabs>
        <w:tab w:val="right" w:leader="dot" w:pos="9072"/>
      </w:tabs>
      <w:jc w:val="both"/>
    </w:pPr>
  </w:style>
  <w:style w:type="paragraph" w:customStyle="1" w:styleId="PageHeadingNotTOC">
    <w:name w:val="PageHeadingNotTOC"/>
    <w:basedOn w:val="Normal12a12b"/>
    <w:pPr>
      <w:keepNext/>
      <w:jc w:val="center"/>
    </w:pPr>
    <w:rPr>
      <w:rFonts w:ascii="Arial" w:hAnsi="Arial"/>
      <w:b/>
    </w:rPr>
  </w:style>
  <w:style w:type="paragraph" w:customStyle="1" w:styleId="Normal12Italic">
    <w:name w:val="Normal12Italic"/>
    <w:basedOn w:val="Normal12"/>
    <w:rPr>
      <w:i/>
    </w:rPr>
  </w:style>
  <w:style w:type="paragraph" w:customStyle="1" w:styleId="PageHeading">
    <w:name w:val="PageHeading"/>
    <w:basedOn w:val="Normal12a12b"/>
    <w:pPr>
      <w:keepNext/>
      <w:jc w:val="center"/>
    </w:pPr>
    <w:rPr>
      <w:rFonts w:ascii="Arial" w:hAnsi="Arial"/>
      <w:b/>
    </w:rPr>
  </w:style>
  <w:style w:type="paragraph" w:customStyle="1" w:styleId="EPName">
    <w:name w:val="EPName"/>
    <w:basedOn w:val="Normal"/>
    <w:rsid w:val="00E856D2"/>
    <w:pPr>
      <w:spacing w:before="80" w:after="80"/>
    </w:pPr>
    <w:rPr>
      <w:rFonts w:ascii="Arial Narrow" w:hAnsi="Arial Narrow" w:cs="Arial"/>
      <w:b/>
      <w:color w:val="000000"/>
      <w:sz w:val="32"/>
      <w:szCs w:val="22"/>
    </w:rPr>
  </w:style>
  <w:style w:type="paragraph" w:customStyle="1" w:styleId="Normal24">
    <w:name w:val="Normal24"/>
    <w:basedOn w:val="Normal"/>
    <w:pPr>
      <w:spacing w:after="480"/>
    </w:pPr>
  </w:style>
  <w:style w:type="paragraph" w:customStyle="1" w:styleId="Cover12">
    <w:name w:val="Cover12"/>
    <w:basedOn w:val="Normal12"/>
    <w:pPr>
      <w:ind w:left="1418"/>
    </w:pPr>
  </w:style>
  <w:style w:type="paragraph" w:customStyle="1" w:styleId="Cover24">
    <w:name w:val="Cover24"/>
    <w:basedOn w:val="Normal24"/>
    <w:pPr>
      <w:ind w:left="1418"/>
    </w:pPr>
  </w:style>
  <w:style w:type="paragraph" w:customStyle="1" w:styleId="CoverNormal">
    <w:name w:val="CoverNormal"/>
    <w:basedOn w:val="Normal"/>
    <w:pPr>
      <w:ind w:left="1418"/>
    </w:pPr>
  </w:style>
  <w:style w:type="paragraph" w:styleId="Header">
    <w:name w:val="header"/>
    <w:basedOn w:val="Normal"/>
    <w:pPr>
      <w:tabs>
        <w:tab w:val="center" w:pos="4153"/>
        <w:tab w:val="right" w:pos="8306"/>
      </w:tabs>
    </w:pPr>
  </w:style>
  <w:style w:type="paragraph" w:customStyle="1" w:styleId="RefProc">
    <w:name w:val="RefProc"/>
    <w:basedOn w:val="Normal"/>
    <w:rsid w:val="005D60C6"/>
    <w:pPr>
      <w:spacing w:before="240" w:after="240"/>
      <w:jc w:val="right"/>
    </w:pPr>
    <w:rPr>
      <w:rFonts w:ascii="Arial" w:hAnsi="Arial"/>
      <w:b/>
      <w:caps/>
    </w:rPr>
  </w:style>
  <w:style w:type="paragraph" w:customStyle="1" w:styleId="TypeDoc">
    <w:name w:val="TypeDoc"/>
    <w:basedOn w:val="Normal24"/>
    <w:pPr>
      <w:ind w:left="1418"/>
    </w:pPr>
    <w:rPr>
      <w:rFonts w:ascii="Arial" w:hAnsi="Arial"/>
      <w:b/>
      <w:sz w:val="48"/>
    </w:rPr>
  </w:style>
  <w:style w:type="paragraph" w:customStyle="1" w:styleId="ZDate">
    <w:name w:val="ZDate"/>
    <w:basedOn w:val="Normal"/>
    <w:pPr>
      <w:spacing w:after="1200"/>
    </w:pPr>
  </w:style>
  <w:style w:type="table" w:styleId="TableGrid">
    <w:name w:val="Table Grid"/>
    <w:basedOn w:val="TableNormal"/>
    <w:rsid w:val="001746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Committee">
    <w:name w:val="ZCommittee"/>
    <w:basedOn w:val="Normal"/>
    <w:next w:val="Normal"/>
    <w:rsid w:val="001746D0"/>
    <w:pPr>
      <w:jc w:val="center"/>
    </w:pPr>
    <w:rPr>
      <w:rFonts w:ascii="Arial" w:hAnsi="Arial" w:cs="Arial"/>
      <w:i/>
      <w:sz w:val="22"/>
      <w:szCs w:val="22"/>
    </w:rPr>
  </w:style>
  <w:style w:type="paragraph" w:customStyle="1" w:styleId="LineTop">
    <w:name w:val="LineTop"/>
    <w:basedOn w:val="Normal"/>
    <w:next w:val="ZCommittee"/>
    <w:rsid w:val="001746D0"/>
    <w:pPr>
      <w:pBdr>
        <w:top w:val="single" w:sz="4" w:space="1" w:color="auto"/>
      </w:pBdr>
      <w:jc w:val="center"/>
    </w:pPr>
    <w:rPr>
      <w:rFonts w:ascii="Arial" w:hAnsi="Arial"/>
      <w:sz w:val="16"/>
      <w:szCs w:val="16"/>
    </w:rPr>
  </w:style>
  <w:style w:type="paragraph" w:customStyle="1" w:styleId="LineBottom">
    <w:name w:val="LineBottom"/>
    <w:basedOn w:val="Normal"/>
    <w:next w:val="Normal"/>
    <w:rsid w:val="001746D0"/>
    <w:pPr>
      <w:pBdr>
        <w:bottom w:val="single" w:sz="4" w:space="1" w:color="auto"/>
      </w:pBdr>
      <w:spacing w:after="840"/>
      <w:jc w:val="center"/>
    </w:pPr>
    <w:rPr>
      <w:rFonts w:ascii="Arial" w:hAnsi="Arial"/>
      <w:sz w:val="16"/>
      <w:szCs w:val="16"/>
    </w:rPr>
  </w:style>
  <w:style w:type="paragraph" w:customStyle="1" w:styleId="EPTerm">
    <w:name w:val="EPTerm"/>
    <w:basedOn w:val="Normal"/>
    <w:next w:val="Normal"/>
    <w:rsid w:val="00E856D2"/>
    <w:pPr>
      <w:spacing w:after="80"/>
    </w:pPr>
    <w:rPr>
      <w:rFonts w:ascii="Arial" w:hAnsi="Arial" w:cs="Arial"/>
      <w:sz w:val="20"/>
      <w:szCs w:val="22"/>
    </w:rPr>
  </w:style>
  <w:style w:type="paragraph" w:customStyle="1" w:styleId="EPLogo">
    <w:name w:val="EPLogo"/>
    <w:basedOn w:val="Normal"/>
    <w:qFormat/>
    <w:rsid w:val="00E856D2"/>
    <w:pPr>
      <w:jc w:val="right"/>
    </w:pPr>
  </w:style>
  <w:style w:type="paragraph" w:customStyle="1" w:styleId="Normal12Hanging">
    <w:name w:val="Normal12Hanging"/>
    <w:basedOn w:val="Normal12"/>
    <w:link w:val="Normal12HangingChar"/>
    <w:rsid w:val="008313E7"/>
    <w:pPr>
      <w:ind w:left="567" w:hanging="567"/>
    </w:pPr>
  </w:style>
  <w:style w:type="paragraph" w:styleId="BalloonText">
    <w:name w:val="Balloon Text"/>
    <w:basedOn w:val="Normal"/>
    <w:link w:val="BalloonTextChar"/>
    <w:rsid w:val="001C3C3F"/>
    <w:rPr>
      <w:rFonts w:ascii="Segoe UI" w:hAnsi="Segoe UI" w:cs="Segoe UI"/>
      <w:sz w:val="18"/>
      <w:szCs w:val="18"/>
    </w:rPr>
  </w:style>
  <w:style w:type="character" w:customStyle="1" w:styleId="BalloonTextChar">
    <w:name w:val="Balloon Text Char"/>
    <w:basedOn w:val="DefaultParagraphFont"/>
    <w:link w:val="BalloonText"/>
    <w:rsid w:val="001C3C3F"/>
    <w:rPr>
      <w:rFonts w:ascii="Segoe UI" w:hAnsi="Segoe UI" w:cs="Segoe UI"/>
      <w:sz w:val="18"/>
      <w:szCs w:val="18"/>
    </w:rPr>
  </w:style>
  <w:style w:type="character" w:customStyle="1" w:styleId="Normal12HangingChar">
    <w:name w:val="Normal12Hanging Char"/>
    <w:basedOn w:val="DefaultParagraphFont"/>
    <w:link w:val="Normal12Hanging"/>
    <w:rsid w:val="002C4CB5"/>
    <w:rPr>
      <w:sz w:val="24"/>
    </w:rPr>
  </w:style>
  <w:style w:type="paragraph" w:customStyle="1" w:styleId="NormalTabs">
    <w:name w:val="NormalTabs"/>
    <w:basedOn w:val="Normal"/>
    <w:qFormat/>
    <w:rsid w:val="003B0533"/>
    <w:pPr>
      <w:tabs>
        <w:tab w:val="center" w:pos="284"/>
        <w:tab w:val="left" w:pos="426"/>
      </w:tabs>
      <w:snapToGrid w:val="0"/>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8122652">
      <w:bodyDiv w:val="1"/>
      <w:marLeft w:val="0"/>
      <w:marRight w:val="0"/>
      <w:marTop w:val="0"/>
      <w:marBottom w:val="0"/>
      <w:divBdr>
        <w:top w:val="none" w:sz="0" w:space="0" w:color="auto"/>
        <w:left w:val="none" w:sz="0" w:space="0" w:color="auto"/>
        <w:bottom w:val="none" w:sz="0" w:space="0" w:color="auto"/>
        <w:right w:val="none" w:sz="0" w:space="0" w:color="auto"/>
      </w:divBdr>
    </w:div>
    <w:div w:id="545800377">
      <w:bodyDiv w:val="1"/>
      <w:marLeft w:val="0"/>
      <w:marRight w:val="0"/>
      <w:marTop w:val="0"/>
      <w:marBottom w:val="0"/>
      <w:divBdr>
        <w:top w:val="none" w:sz="0" w:space="0" w:color="auto"/>
        <w:left w:val="none" w:sz="0" w:space="0" w:color="auto"/>
        <w:bottom w:val="none" w:sz="0" w:space="0" w:color="auto"/>
        <w:right w:val="none" w:sz="0" w:space="0" w:color="auto"/>
      </w:divBdr>
    </w:div>
    <w:div w:id="1989897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7BBAC0FA.dotm</Template>
  <TotalTime>0</TotalTime>
  <Pages>7</Pages>
  <Words>1603</Words>
  <Characters>10040</Characters>
  <Application>Microsoft Office Word</Application>
  <DocSecurity>0</DocSecurity>
  <Lines>233</Lines>
  <Paragraphs>79</Paragraphs>
  <ScaleCrop>false</ScaleCrop>
  <HeadingPairs>
    <vt:vector size="2" baseType="variant">
      <vt:variant>
        <vt:lpstr>Title</vt:lpstr>
      </vt:variant>
      <vt:variant>
        <vt:i4>1</vt:i4>
      </vt:variant>
    </vt:vector>
  </HeadingPairs>
  <TitlesOfParts>
    <vt:vector size="1" baseType="lpstr">
      <vt:lpstr>PA_NonLeg</vt:lpstr>
    </vt:vector>
  </TitlesOfParts>
  <Company/>
  <LinksUpToDate>false</LinksUpToDate>
  <CharactersWithSpaces>11564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c:title>
  <dc:subject/>
  <dc:creator>MANYIK Krisztina</dc:creator>
  <cp:keywords/>
  <dc:description/>
  <cp:lastModifiedBy>FILIPOVA Gergana</cp:lastModifiedBy>
  <cp:revision>2</cp:revision>
  <cp:lastPrinted>2018-02-22T09:02:00Z</cp:lastPrinted>
  <dcterms:created xsi:type="dcterms:W3CDTF">2018-03-07T11:12:00Z</dcterms:created>
  <dcterms:modified xsi:type="dcterms:W3CDTF">2018-03-07T11:12:00Z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with">
    <vt:lpwstr>9.2.0 Build [20171110]</vt:lpwstr>
  </property>
  <property fmtid="{D5CDD505-2E9C-101B-9397-08002B2CF9AE}" pid="3" name="LastEdited with">
    <vt:lpwstr>9.2.1 Build [201802013]</vt:lpwstr>
  </property>
  <property fmtid="{D5CDD505-2E9C-101B-9397-08002B2CF9AE}" pid="4" name="&lt;FdR&gt;">
    <vt:lpwstr>1146149</vt:lpwstr>
  </property>
  <property fmtid="{D5CDD505-2E9C-101B-9397-08002B2CF9AE}" pid="5" name="&lt;Type&gt;">
    <vt:lpwstr>AD</vt:lpwstr>
  </property>
  <property fmtid="{D5CDD505-2E9C-101B-9397-08002B2CF9AE}" pid="6" name="&lt;ModelCod&gt;">
    <vt:lpwstr>\\eiciBRUpr1\pdocep$\DocEP\DOCS\General\PA\PA_NonLeg.dot(05/07/2017 15:38:43)</vt:lpwstr>
  </property>
  <property fmtid="{D5CDD505-2E9C-101B-9397-08002B2CF9AE}" pid="7" name="&lt;ModelTra&gt;">
    <vt:lpwstr>\\eiciBRUpr1\pdocep$\DocEP\TRANSFIL\EN\PA_NonLeg.EN(01/02/2017 18:08:11)</vt:lpwstr>
  </property>
  <property fmtid="{D5CDD505-2E9C-101B-9397-08002B2CF9AE}" pid="8" name="&lt;Model&gt;">
    <vt:lpwstr>PA_NonLeg</vt:lpwstr>
  </property>
  <property fmtid="{D5CDD505-2E9C-101B-9397-08002B2CF9AE}" pid="9" name="FooterPath">
    <vt:lpwstr>AD\1146149BG.docx</vt:lpwstr>
  </property>
  <property fmtid="{D5CDD505-2E9C-101B-9397-08002B2CF9AE}" pid="10" name="PE number">
    <vt:lpwstr>615.485</vt:lpwstr>
  </property>
  <property fmtid="{D5CDD505-2E9C-101B-9397-08002B2CF9AE}" pid="11" name="SubscribeElise">
    <vt:lpwstr/>
  </property>
  <property fmtid="{D5CDD505-2E9C-101B-9397-08002B2CF9AE}" pid="12" name="SendToEpades">
    <vt:lpwstr>OK - 2018/02/20 18:48</vt:lpwstr>
  </property>
  <property fmtid="{D5CDD505-2E9C-101B-9397-08002B2CF9AE}" pid="13" name="SDLStudio">
    <vt:lpwstr/>
  </property>
  <property fmtid="{D5CDD505-2E9C-101B-9397-08002B2CF9AE}" pid="14" name="&lt;Extension&gt;">
    <vt:lpwstr>BG</vt:lpwstr>
  </property>
  <property fmtid="{D5CDD505-2E9C-101B-9397-08002B2CF9AE}" pid="15" name="Bookout">
    <vt:lpwstr>OK - 2018/03/07 12:12</vt:lpwstr>
  </property>
</Properties>
</file>