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E856D2" w:rsidRPr="005F00F4" w:rsidTr="003E2402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E856D2" w:rsidRPr="005F00F4" w:rsidRDefault="001815F2" w:rsidP="003E2402">
            <w:pPr>
              <w:pStyle w:val="EPName"/>
            </w:pPr>
            <w:r w:rsidRPr="005F00F4">
              <w:t>Европейски парламент</w:t>
            </w:r>
          </w:p>
          <w:p w:rsidR="00E856D2" w:rsidRPr="005F00F4" w:rsidRDefault="00DA29BB" w:rsidP="00DA29BB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5F00F4">
              <w:t>2014-2019</w:t>
            </w:r>
          </w:p>
        </w:tc>
        <w:tc>
          <w:tcPr>
            <w:tcW w:w="2268" w:type="dxa"/>
            <w:shd w:val="clear" w:color="auto" w:fill="auto"/>
          </w:tcPr>
          <w:p w:rsidR="00E856D2" w:rsidRPr="005F00F4" w:rsidRDefault="005803AD" w:rsidP="003E2402">
            <w:pPr>
              <w:pStyle w:val="EPLogo"/>
            </w:pPr>
            <w:r w:rsidRPr="005F00F4">
              <w:rPr>
                <w:noProof/>
                <w:lang w:val="en-GB"/>
              </w:rPr>
              <w:drawing>
                <wp:inline distT="0" distB="0" distL="0" distR="0">
                  <wp:extent cx="1171575" cy="647700"/>
                  <wp:effectExtent l="0" t="0" r="9525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6D0" w:rsidRPr="005F00F4" w:rsidRDefault="001746D0" w:rsidP="001746D0">
      <w:pPr>
        <w:pStyle w:val="LineTop"/>
      </w:pPr>
    </w:p>
    <w:p w:rsidR="001746D0" w:rsidRPr="005F00F4" w:rsidRDefault="001746D0" w:rsidP="001746D0">
      <w:pPr>
        <w:pStyle w:val="ZCommittee"/>
      </w:pPr>
      <w:r w:rsidRPr="005F00F4">
        <w:rPr>
          <w:rStyle w:val="HideTWBExt"/>
          <w:noProof w:val="0"/>
        </w:rPr>
        <w:t>&lt;</w:t>
      </w:r>
      <w:r w:rsidRPr="005F00F4">
        <w:rPr>
          <w:rStyle w:val="HideTWBExt"/>
          <w:i w:val="0"/>
          <w:noProof w:val="0"/>
        </w:rPr>
        <w:t>Commission</w:t>
      </w:r>
      <w:r w:rsidRPr="005F00F4">
        <w:rPr>
          <w:rStyle w:val="HideTWBExt"/>
          <w:noProof w:val="0"/>
        </w:rPr>
        <w:t>&gt;</w:t>
      </w:r>
      <w:r w:rsidRPr="005F00F4">
        <w:rPr>
          <w:rStyle w:val="HideTWBInt"/>
        </w:rPr>
        <w:t>{REGI}</w:t>
      </w:r>
      <w:r w:rsidRPr="005F00F4">
        <w:t>Комисия по регионално развитие</w:t>
      </w:r>
      <w:r w:rsidRPr="005F00F4">
        <w:rPr>
          <w:rStyle w:val="HideTWBExt"/>
          <w:noProof w:val="0"/>
        </w:rPr>
        <w:t>&lt;/</w:t>
      </w:r>
      <w:r w:rsidRPr="005F00F4">
        <w:rPr>
          <w:rStyle w:val="HideTWBExt"/>
          <w:i w:val="0"/>
          <w:noProof w:val="0"/>
        </w:rPr>
        <w:t>Commission</w:t>
      </w:r>
      <w:r w:rsidRPr="005F00F4">
        <w:rPr>
          <w:rStyle w:val="HideTWBExt"/>
          <w:noProof w:val="0"/>
        </w:rPr>
        <w:t>&gt;</w:t>
      </w:r>
    </w:p>
    <w:p w:rsidR="001746D0" w:rsidRPr="005F00F4" w:rsidRDefault="001746D0" w:rsidP="001746D0">
      <w:pPr>
        <w:pStyle w:val="LineBottom"/>
      </w:pPr>
    </w:p>
    <w:p w:rsidR="000014B4" w:rsidRPr="005F00F4" w:rsidRDefault="000014B4" w:rsidP="000014B4">
      <w:pPr>
        <w:pStyle w:val="RefProc"/>
      </w:pPr>
      <w:r w:rsidRPr="005F00F4">
        <w:rPr>
          <w:rStyle w:val="HideTWBExt"/>
          <w:b w:val="0"/>
          <w:noProof w:val="0"/>
        </w:rPr>
        <w:t>&lt;</w:t>
      </w:r>
      <w:r w:rsidRPr="005F00F4">
        <w:rPr>
          <w:rStyle w:val="HideTWBExt"/>
          <w:b w:val="0"/>
          <w:caps w:val="0"/>
          <w:noProof w:val="0"/>
        </w:rPr>
        <w:t>RefProc</w:t>
      </w:r>
      <w:r w:rsidRPr="005F00F4">
        <w:rPr>
          <w:rStyle w:val="HideTWBExt"/>
          <w:b w:val="0"/>
          <w:noProof w:val="0"/>
        </w:rPr>
        <w:t>&gt;</w:t>
      </w:r>
      <w:r w:rsidRPr="005F00F4">
        <w:t>2017/2044(BUD)</w:t>
      </w:r>
      <w:r w:rsidRPr="005F00F4">
        <w:rPr>
          <w:rStyle w:val="HideTWBExt"/>
          <w:b w:val="0"/>
          <w:noProof w:val="0"/>
        </w:rPr>
        <w:t>&lt;/</w:t>
      </w:r>
      <w:r w:rsidRPr="005F00F4">
        <w:rPr>
          <w:rStyle w:val="HideTWBExt"/>
          <w:b w:val="0"/>
          <w:caps w:val="0"/>
          <w:noProof w:val="0"/>
        </w:rPr>
        <w:t>RefProc</w:t>
      </w:r>
      <w:r w:rsidRPr="005F00F4">
        <w:rPr>
          <w:rStyle w:val="HideTWBExt"/>
          <w:b w:val="0"/>
          <w:noProof w:val="0"/>
        </w:rPr>
        <w:t>&gt;</w:t>
      </w:r>
    </w:p>
    <w:p w:rsidR="000014B4" w:rsidRPr="005F00F4" w:rsidRDefault="000014B4" w:rsidP="000014B4">
      <w:pPr>
        <w:pStyle w:val="ZDate"/>
      </w:pPr>
      <w:r w:rsidRPr="005F00F4">
        <w:rPr>
          <w:rStyle w:val="HideTWBExt"/>
          <w:noProof w:val="0"/>
        </w:rPr>
        <w:t>&lt;Date&gt;</w:t>
      </w:r>
      <w:r w:rsidRPr="005F00F4">
        <w:rPr>
          <w:rStyle w:val="HideTWBInt"/>
        </w:rPr>
        <w:t>{08/09/2017}</w:t>
      </w:r>
      <w:r w:rsidRPr="005F00F4">
        <w:t>8.9.2017</w:t>
      </w:r>
      <w:r w:rsidRPr="005F00F4">
        <w:rPr>
          <w:rStyle w:val="HideTWBExt"/>
          <w:noProof w:val="0"/>
        </w:rPr>
        <w:t>&lt;/Date&gt;</w:t>
      </w:r>
    </w:p>
    <w:p w:rsidR="000014B4" w:rsidRPr="005F00F4" w:rsidRDefault="000014B4" w:rsidP="000014B4">
      <w:pPr>
        <w:pStyle w:val="TypeDoc"/>
      </w:pPr>
      <w:r w:rsidRPr="005F00F4">
        <w:rPr>
          <w:rStyle w:val="HideTWBExt"/>
          <w:b w:val="0"/>
          <w:noProof w:val="0"/>
        </w:rPr>
        <w:t>&lt;TitreType&gt;</w:t>
      </w:r>
      <w:r w:rsidRPr="005F00F4">
        <w:t>СТАНОВИЩЕ</w:t>
      </w:r>
      <w:r w:rsidRPr="005F00F4">
        <w:rPr>
          <w:rStyle w:val="HideTWBExt"/>
          <w:b w:val="0"/>
          <w:noProof w:val="0"/>
        </w:rPr>
        <w:t>&lt;/TitreType&gt;</w:t>
      </w:r>
    </w:p>
    <w:p w:rsidR="000014B4" w:rsidRPr="005F00F4" w:rsidRDefault="000014B4" w:rsidP="000014B4">
      <w:pPr>
        <w:pStyle w:val="Cover24"/>
      </w:pPr>
      <w:r w:rsidRPr="005F00F4">
        <w:rPr>
          <w:rStyle w:val="HideTWBExt"/>
          <w:noProof w:val="0"/>
        </w:rPr>
        <w:t>&lt;CommissionResp&gt;</w:t>
      </w:r>
      <w:r w:rsidRPr="005F00F4">
        <w:t>на комисията по регионално развитие</w:t>
      </w:r>
      <w:r w:rsidRPr="005F00F4">
        <w:rPr>
          <w:rStyle w:val="HideTWBExt"/>
          <w:noProof w:val="0"/>
        </w:rPr>
        <w:t>&lt;/CommissionResp&gt;</w:t>
      </w:r>
    </w:p>
    <w:p w:rsidR="000014B4" w:rsidRPr="005F00F4" w:rsidRDefault="000014B4" w:rsidP="000014B4">
      <w:pPr>
        <w:pStyle w:val="Cover24"/>
      </w:pPr>
      <w:r w:rsidRPr="005F00F4">
        <w:rPr>
          <w:rStyle w:val="HideTWBExt"/>
          <w:noProof w:val="0"/>
        </w:rPr>
        <w:t>&lt;CommissionInt&gt;</w:t>
      </w:r>
      <w:r w:rsidRPr="005F00F4">
        <w:t>на вниманието на комисията по бюджети</w:t>
      </w:r>
      <w:r w:rsidRPr="005F00F4">
        <w:rPr>
          <w:rStyle w:val="HideTWBExt"/>
          <w:noProof w:val="0"/>
        </w:rPr>
        <w:t>&lt;/CommissionInt&gt;</w:t>
      </w:r>
    </w:p>
    <w:p w:rsidR="000014B4" w:rsidRPr="005F00F4" w:rsidRDefault="000014B4" w:rsidP="000014B4">
      <w:pPr>
        <w:pStyle w:val="CoverNormal"/>
      </w:pPr>
      <w:r w:rsidRPr="005F00F4">
        <w:rPr>
          <w:rStyle w:val="HideTWBExt"/>
          <w:noProof w:val="0"/>
        </w:rPr>
        <w:t>&lt;Titre&gt;</w:t>
      </w:r>
      <w:r w:rsidRPr="005F00F4">
        <w:t>относно проекта на общ бюджет на Европейския съюз за финансовата 2018 година</w:t>
      </w:r>
      <w:r w:rsidRPr="005F00F4">
        <w:rPr>
          <w:rStyle w:val="HideTWBExt"/>
          <w:noProof w:val="0"/>
        </w:rPr>
        <w:t>&lt;/Titre&gt;</w:t>
      </w:r>
    </w:p>
    <w:p w:rsidR="000014B4" w:rsidRPr="005F00F4" w:rsidRDefault="000014B4" w:rsidP="000014B4">
      <w:pPr>
        <w:pStyle w:val="Cover24"/>
      </w:pPr>
      <w:r w:rsidRPr="005F00F4">
        <w:rPr>
          <w:rStyle w:val="HideTWBExt"/>
          <w:noProof w:val="0"/>
        </w:rPr>
        <w:t>&lt;DocRef&gt;</w:t>
      </w:r>
      <w:r w:rsidRPr="005F00F4">
        <w:t>(2017/2044(BUD))</w:t>
      </w:r>
      <w:r w:rsidRPr="005F00F4">
        <w:rPr>
          <w:rStyle w:val="HideTWBExt"/>
          <w:noProof w:val="0"/>
        </w:rPr>
        <w:t>&lt;/DocRef&gt;</w:t>
      </w:r>
    </w:p>
    <w:p w:rsidR="000014B4" w:rsidRPr="005F00F4" w:rsidRDefault="000014B4" w:rsidP="000014B4">
      <w:pPr>
        <w:pStyle w:val="Cover24"/>
      </w:pPr>
      <w:r w:rsidRPr="005F00F4">
        <w:t xml:space="preserve">Докладчик по становище: </w:t>
      </w:r>
      <w:r w:rsidRPr="005F00F4">
        <w:rPr>
          <w:rStyle w:val="HideTWBExt"/>
          <w:noProof w:val="0"/>
        </w:rPr>
        <w:t>&lt;Depute&gt;</w:t>
      </w:r>
      <w:r w:rsidRPr="005F00F4">
        <w:t>Искра Михайлова</w:t>
      </w:r>
      <w:r w:rsidRPr="005F00F4">
        <w:rPr>
          <w:rStyle w:val="HideTWBExt"/>
          <w:noProof w:val="0"/>
        </w:rPr>
        <w:t>&lt;/Depute&gt;</w:t>
      </w:r>
    </w:p>
    <w:p w:rsidR="000014B4" w:rsidRPr="005F00F4" w:rsidRDefault="000014B4" w:rsidP="000014B4">
      <w:pPr>
        <w:widowControl/>
        <w:tabs>
          <w:tab w:val="center" w:pos="4677"/>
        </w:tabs>
      </w:pPr>
      <w:r w:rsidRPr="005F00F4">
        <w:br w:type="page"/>
      </w:r>
      <w:r w:rsidRPr="005F00F4">
        <w:lastRenderedPageBreak/>
        <w:t>PA_NonLeg</w:t>
      </w:r>
    </w:p>
    <w:p w:rsidR="000014B4" w:rsidRPr="005F00F4" w:rsidRDefault="000014B4" w:rsidP="000014B4">
      <w:pPr>
        <w:pStyle w:val="PageHeadingNotTOC"/>
      </w:pPr>
      <w:r w:rsidRPr="005F00F4">
        <w:br w:type="page"/>
      </w:r>
      <w:r w:rsidRPr="005F00F4">
        <w:lastRenderedPageBreak/>
        <w:t>ПРЕДЛОЖЕНИЯ</w:t>
      </w:r>
    </w:p>
    <w:p w:rsidR="000014B4" w:rsidRPr="005F00F4" w:rsidRDefault="000014B4" w:rsidP="000014B4">
      <w:pPr>
        <w:pStyle w:val="Normal12"/>
      </w:pPr>
      <w:r w:rsidRPr="005F00F4">
        <w:t>Комисията по регионално развитие приканва водещата комисия по бюджети да включи в предложението за резолюция, което ще приеме, следните предложения:</w:t>
      </w:r>
    </w:p>
    <w:p w:rsidR="000014B4" w:rsidRPr="005F00F4" w:rsidRDefault="000014B4" w:rsidP="000014B4">
      <w:pPr>
        <w:pStyle w:val="Normal12Hanging"/>
      </w:pPr>
      <w:bookmarkStart w:id="0" w:name="restart"/>
      <w:r w:rsidRPr="005F00F4">
        <w:t>1.</w:t>
      </w:r>
      <w:r w:rsidRPr="005F00F4">
        <w:tab/>
        <w:t>подчертава значението на политиката на сближаване като основната политика за публични инвестиции на Съюза, основаваща се на солидарност и имаща за цел съгласно Договора намаляването на икономическите, социалните и териториалните различия между европейските региони и вътре в тях; признава първостепенния принос на бюджета на Съюза като основен инструмент за осигуряване на ресурси за постигането на приоритетите и целите на политиката на сближаване, и припомня, че той следва да даде финансов принос за постигането на целите на „Европа 2020“; в този контекст изтъква ролята на политиката на сближаване за създаването на растеж и работни места в целия Съюз, както и за постигането на ключовите цели и приоритети на Съюза, включително целите му в областта на енергетиката и климата и социалните му цели, както и необходимостта от поддържане, подобряване и опростяване на политиката на сближаване, за да може Съюзът отново да поеме по пътя на сближаването и по-нататъшната интеграция; осъзнава настоящата потребност от повишаване на разходите за сигурност, която е предварително условие за постигане на целите на политиката на сближаване и на другите политики на ЕС;</w:t>
      </w:r>
    </w:p>
    <w:bookmarkEnd w:id="0"/>
    <w:p w:rsidR="000014B4" w:rsidRPr="005F00F4" w:rsidRDefault="000014B4" w:rsidP="000014B4">
      <w:pPr>
        <w:pStyle w:val="Normal12Hanging"/>
      </w:pPr>
      <w:r w:rsidRPr="005F00F4">
        <w:t>2.</w:t>
      </w:r>
      <w:r w:rsidRPr="005F00F4">
        <w:tab/>
        <w:t>отбелязва, че поради някои забавяния политиката на сближаване се характеризира с непълно усвояване на средствата през първите години от периода 2014—2020 г., както и че според данните, предоставени от Генерална дирекция „Бюджет“ на Комисията, до 30 юни 2017 г. са се натрупали само около 60 милиарда евро от плащания в Съюза за всички европейски структурни и инвестиционни фондове („ЕСИ фондове“), със среден натрупан процент на плащания от 23,72% (и 19,76% в по-слабо развитите региони); отбелязва неприемливите забавяния при изпълнението на текущите програми, които до момента подкопават ефективността им и поставят под натиск управляващите органи и бенефициентите, увеличавайки риска от грешки и незадоволителни резултати; ето защо подчертава, че всички участващи в процеса заинтересовани субекти трябва да засилят взаимното си сътрудничество, за да се преодолеят забавянията в изпълнението на текущите програми; призовава Комисията да консултира на постоянна основа държавите членки за преодоляване на забавянията при определянето на съответните управляващи, сертифициращи и одитни органи, така че този процес да завърши възможно най-бързо, и да си сътрудничат активно, за да се ускори изпълнението и да се предотврати автоматичното отменяне на бюджетни кредити; призовава Комисията и държавите членки да работят заедно за наблюдение в реално време на изпълнението на програмите през периода 2014—2020 г., за да се гарантира, че плащанията продължават да бъдат в съответствие с разрешените бюджетни кредити за поети задължения, с цел да се избегне натрупване на неплатени сметки; освен това призовава настоятелно държавите членки да използват в пълна степен наличните инструменти за програмиране по време на текущия финансов период, както и да гарантират по-нататъшното безпроблемно изпълнение на оперативните програми;</w:t>
      </w:r>
    </w:p>
    <w:p w:rsidR="000014B4" w:rsidRPr="005F00F4" w:rsidRDefault="000014B4" w:rsidP="000014B4">
      <w:pPr>
        <w:pStyle w:val="Normal12Hanging"/>
      </w:pPr>
      <w:r w:rsidRPr="005F00F4">
        <w:t>3.</w:t>
      </w:r>
      <w:r w:rsidRPr="005F00F4">
        <w:tab/>
        <w:t xml:space="preserve">припомня на Комисията да продължи работата на създадената през 2014 г. </w:t>
      </w:r>
      <w:r w:rsidRPr="005F00F4">
        <w:lastRenderedPageBreak/>
        <w:t>оперативна група за периода 2007—2013 г., за да подкрепя и ускорява изпълнението на програмите за периода 2014—2020 г.</w:t>
      </w:r>
    </w:p>
    <w:p w:rsidR="000014B4" w:rsidRPr="005F00F4" w:rsidRDefault="000014B4" w:rsidP="000014B4">
      <w:pPr>
        <w:pStyle w:val="Normal12Hanging"/>
      </w:pPr>
      <w:r w:rsidRPr="005F00F4">
        <w:t>4.</w:t>
      </w:r>
      <w:r w:rsidRPr="005F00F4">
        <w:tab/>
        <w:t>признава усилията на Комисията за постепенно намаляване на броя на неизпълнените искания за плащания; изразява загриженост относно малкия брой подадени искания за плащания по програмите за периода 2014—2020 г., което би могло да доведе до ново натрупване на неплатени сметки; в този контекст настоятелно призовава Комисията да има предвид, че е възможно по-късното натрупване на искания за плащания да предизвика нови забавяния; приветства прогнозата за плащанията до 2020 г., изготвена в рамките на междинния преглед на Многогодишната финансова рамка, и призовава за нейната редовна ежегодна актуализация; подчертава необходимостта от намаляване на разликите между държавите членки във връзка с реалистичността на прогнозите, което да стане чрез въвеждане на стандартизирана информационна система за прогнозиране;</w:t>
      </w:r>
    </w:p>
    <w:p w:rsidR="000014B4" w:rsidRPr="005F00F4" w:rsidRDefault="000014B4" w:rsidP="000014B4">
      <w:pPr>
        <w:pStyle w:val="Normal12Hanging"/>
      </w:pPr>
      <w:r w:rsidRPr="005F00F4">
        <w:t>5.</w:t>
      </w:r>
      <w:r w:rsidRPr="005F00F4">
        <w:tab/>
        <w:t>отбелязва увеличението с 25,7% на нивото на бюджетните кредити за плащания по функция 1б в проекта на бюджет за 2018 г., както и увеличението с 2,4% на общата стойност на бюджетните кредити за поети задължения в сравнение с бюджета за 2017 г.; поставя под въпрос дали тези суми са достатъчни за покриване на плащанията по посочената функция, като се има предвид, че расте броят на подбраните проекти и че се очаква изпълнението да достигне нормален ритъм през 2018 г.; подчертава необходимостта да се осигурят средства от бюджета на Съюза с подходящо ниво на бюджетни кредити за покриване на плащанията по политиката на сближаване, за да се докаже способността на Съюза да изпълнява ангажиментите си и за да се засили доверието в него;</w:t>
      </w:r>
    </w:p>
    <w:p w:rsidR="000014B4" w:rsidRPr="005F00F4" w:rsidRDefault="000014B4" w:rsidP="000014B4">
      <w:pPr>
        <w:pStyle w:val="Normal12Hanging"/>
      </w:pPr>
      <w:r w:rsidRPr="005F00F4">
        <w:t>6.</w:t>
      </w:r>
      <w:r w:rsidRPr="005F00F4">
        <w:tab/>
        <w:t xml:space="preserve">призовава за засилено полезно взаимодействие на програмите по европейските структурни и инвестиционни фондове с други програми на Съюза; </w:t>
      </w:r>
      <w:r w:rsidRPr="005F00F4">
        <w:rPr>
          <w:color w:val="000000"/>
        </w:rPr>
        <w:t>счита, че безвъзмездните средства следва да продължат да бъдат основата на финансирането на политиката на сближаване;</w:t>
      </w:r>
      <w:r w:rsidRPr="005F00F4">
        <w:t xml:space="preserve"> изтъква, че финансовите инструменти могат да играят допълваща роля към безвъзмездните средства, но следва да се използват само след като е внимателно установена добавената им стойност въз основа на предварителни оценки, при които се анализира не само техният ефект на ливъридж, но и приносът им за принципите и целите на политиката; </w:t>
      </w:r>
      <w:r w:rsidRPr="005F00F4">
        <w:rPr>
          <w:color w:val="000000"/>
        </w:rPr>
        <w:t>изтъква, че съчетаването на инструменти за финансиране следва да бъде надлежно наблюдавано, като се поставя акцент върху постигнатите резултати и цели;</w:t>
      </w:r>
      <w:r w:rsidRPr="005F00F4">
        <w:t xml:space="preserve"> </w:t>
      </w:r>
      <w:r w:rsidRPr="005F00F4">
        <w:rPr>
          <w:color w:val="000000"/>
        </w:rPr>
        <w:t>счита, че най-добрият подход за постигане на полезно взаимодействие е разделянето на проектите на етапи и финансирането на различните етапи с различни инструменти, а не съчетаване на инструментите; предупреждава, че използването на Европейския фонд за стратегически инвестиции (ЕФСИ) и други финансови инструменти не трябва да накърнява европейските структурни и инвестиционни фондове;</w:t>
      </w:r>
    </w:p>
    <w:p w:rsidR="000014B4" w:rsidRPr="005F00F4" w:rsidRDefault="000014B4" w:rsidP="000014B4">
      <w:pPr>
        <w:pStyle w:val="Normal12Hanging"/>
      </w:pPr>
      <w:r w:rsidRPr="005F00F4">
        <w:t>7.</w:t>
      </w:r>
      <w:r w:rsidRPr="005F00F4">
        <w:tab/>
        <w:t xml:space="preserve">приветства факта, че проектът на бюджет за 2018 г. включва елементите на пакета за междинния преглед, което ще позволи по-голяма гъвкавост; призовава Комисията да не предлага повече преразпределяне или съкращаване на средства от функция 1б от МФР 2014—2020 г.; призовава Комисията да продължи да поставя акцент върху резултатите от изпълнението на бюджета на Съюза, и подкрепя всички стъпки, предприети към основан на резултатите подход; </w:t>
      </w:r>
      <w:r w:rsidRPr="005F00F4">
        <w:lastRenderedPageBreak/>
        <w:t>посочва, че бюджетът за 2018 г. следва да бъде изпълняван в съответствие с увеличения потенциал на предложеното опростяване и гъвкавост в рамките на пакета „Омнибус“; подчертава необходимостта от предприемане на действия за повишаване на осведомеността сред гражданите относно ползите от бюджета на Съюза и постигането на резултатите, както и от въвеждане на мерки за подобряване на комуникацията относно средствата на Съюза и на тяхната видимост;</w:t>
      </w:r>
    </w:p>
    <w:p w:rsidR="000014B4" w:rsidRPr="005F00F4" w:rsidRDefault="000014B4" w:rsidP="000014B4">
      <w:pPr>
        <w:pStyle w:val="Normal12Hanging"/>
      </w:pPr>
      <w:r w:rsidRPr="005F00F4">
        <w:t>8.</w:t>
      </w:r>
      <w:r w:rsidRPr="005F00F4">
        <w:tab/>
        <w:t>приветства новия финансов пакет в размер на 140 милиона евро, създаден за улесняване на изпълнението на Програмата за подкрепа на структурните реформи (ППСР) за периода 2017—2020 г.; отново изтъква колко е важно да се гарантира, че ППСР и програмите за техническа помощ работят като взаимно допълващи се решения; отбелязва, че финансирането на ППСР ще бъде взето от неусвоени средства за техническа помощ, и поради това призовава Комисията да гарантира, че това няма да намали нейната амбиция за специална целева помощ със силна тематична насоченост;</w:t>
      </w:r>
    </w:p>
    <w:p w:rsidR="000014B4" w:rsidRPr="005F00F4" w:rsidRDefault="000014B4" w:rsidP="000014B4">
      <w:pPr>
        <w:pStyle w:val="Normal12Hanging"/>
      </w:pPr>
      <w:r w:rsidRPr="005F00F4">
        <w:t>9.</w:t>
      </w:r>
      <w:r w:rsidRPr="005F00F4">
        <w:tab/>
        <w:t>призовава Комисията да си сътрудничи с държавите членки за повишаване на осведомеността на обществеността относно приоритетите на Съюза и да гарантира прозрачно, справедливо и отговорно използване на ресурсите на Съюза, общ принцип, който има за цел да постави европейския проект по-близо до гражданите на ЕС;</w:t>
      </w:r>
    </w:p>
    <w:p w:rsidR="000014B4" w:rsidRPr="005F00F4" w:rsidRDefault="000014B4" w:rsidP="000014B4">
      <w:pPr>
        <w:pStyle w:val="Normal12Hanging"/>
      </w:pPr>
      <w:r w:rsidRPr="005F00F4">
        <w:t>10.</w:t>
      </w:r>
      <w:r w:rsidRPr="005F00F4">
        <w:tab/>
        <w:t>отбелязва, че към момента на извършване на средносрочния преглед (ССП) Комисията не е счела за необходимо да се увеличат общо таваните на плащанията, след като тя е приела, че съществуващите възможности за гъвкави решения са достатъчни; счита, че Комисията следва да продължи да гарантира провеждането на открит диалог с Европейския парламент по този въпрос, тъй като той продължава да следи изпълнението на програмите на европейските структурни и инвестиционни фондове;</w:t>
      </w:r>
    </w:p>
    <w:p w:rsidR="000014B4" w:rsidRPr="005F00F4" w:rsidRDefault="000014B4" w:rsidP="000014B4">
      <w:pPr>
        <w:pStyle w:val="Normal12Hanging"/>
      </w:pPr>
      <w:r w:rsidRPr="005F00F4">
        <w:t>11.</w:t>
      </w:r>
      <w:r w:rsidRPr="005F00F4">
        <w:tab/>
        <w:t>отбелязва мнението на Комисията, че рискът от автоматично отменяне на бюджетни кредити за програмния период 2014—2020 г. е понастоящем нисък; освен това отбелязва, че правилото за автоматично отменяне на бюджетни кредити за периода 2014—2020 г. (n+3) ще се прилага за първи път в края на 2017 г.; предвид на бавното темпо на изпълнение, призовава Комисията да гарантира, че на Европейския парламент се предоставя подходяща и навременна информация за повишен риск от отменяне на бюджетни кредити, по-специално защото в края на 2018 г. държавите членки ще се стремят да обосноват траншовете поети задължения.</w:t>
      </w:r>
    </w:p>
    <w:p w:rsidR="000014B4" w:rsidRPr="005F00F4" w:rsidRDefault="000014B4" w:rsidP="000014B4">
      <w:r w:rsidRPr="005F00F4">
        <w:br w:type="page"/>
      </w:r>
    </w:p>
    <w:p w:rsidR="000014B4" w:rsidRPr="005F00F4" w:rsidRDefault="000014B4" w:rsidP="000014B4">
      <w:pPr>
        <w:pStyle w:val="PageHeadingNotTOC"/>
      </w:pPr>
      <w:bookmarkStart w:id="1" w:name="ProcPageAD"/>
      <w:r w:rsidRPr="005F00F4">
        <w:lastRenderedPageBreak/>
        <w:t>ИНФОРМАЦИЯ ОТНОСНО ПРИЕМАНЕТО В ПОДПОМАГАЩАТА КОМИСИЯ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0014B4" w:rsidRPr="005F00F4" w:rsidTr="00AB10DE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F00F4">
              <w:rPr>
                <w:b/>
                <w:bCs/>
                <w:color w:val="000000"/>
                <w:sz w:val="20"/>
              </w:rPr>
              <w:t>Дата на приемане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7.9.2017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0014B4" w:rsidRPr="005F00F4" w:rsidTr="00AB10DE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F00F4">
              <w:rPr>
                <w:b/>
                <w:bCs/>
                <w:color w:val="000000"/>
                <w:sz w:val="20"/>
              </w:rPr>
              <w:t>Резултат от окончателното гласуване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+:</w:t>
            </w:r>
          </w:p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–:</w:t>
            </w:r>
          </w:p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28</w:t>
            </w:r>
          </w:p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3</w:t>
            </w:r>
          </w:p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1</w:t>
            </w:r>
          </w:p>
        </w:tc>
      </w:tr>
      <w:tr w:rsidR="000014B4" w:rsidRPr="005F00F4" w:rsidTr="00AB10DE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F00F4">
              <w:rPr>
                <w:b/>
                <w:bCs/>
                <w:color w:val="000000"/>
                <w:sz w:val="20"/>
              </w:rPr>
              <w:t>Членове,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Pascal Arimont, Mercedes Bresso, James Carver, Andrea Cozzolino, Rosa D’Amato, Raymond Finch, Krzysztof Hetman, Ivan Jakovčić, Marc Joulaud, Constanze Krehl, Sławomir Kłosowski, Louis-Joseph Manscour, Martina Michels, Jens Nilsson, Andrey Novakov, Younous Omarjee, Konstantinos Papadakis, Stanislav Polčák, Liliana Rodrigues, Fernando Ruas, Maria Spyraki, Matthijs van Miltenburg, Lambert van Nistelrooij, Kerstin Westphal</w:t>
            </w:r>
          </w:p>
        </w:tc>
      </w:tr>
      <w:tr w:rsidR="000014B4" w:rsidRPr="005F00F4" w:rsidTr="00AB10DE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F00F4">
              <w:rPr>
                <w:b/>
                <w:bCs/>
                <w:color w:val="000000"/>
                <w:sz w:val="20"/>
              </w:rPr>
              <w:t>Заместници,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Andor Deli, John Howarth, Ivana Maletić, Dimitrios Papadimoulis, Georgi Pirinski, Bronis Ropė</w:t>
            </w:r>
          </w:p>
        </w:tc>
      </w:tr>
      <w:tr w:rsidR="000014B4" w:rsidRPr="005F00F4" w:rsidTr="00AB10DE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F00F4">
              <w:rPr>
                <w:b/>
                <w:bCs/>
                <w:color w:val="000000"/>
                <w:sz w:val="20"/>
              </w:rPr>
              <w:t>Заместници (чл. 200, пар. 2),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014B4" w:rsidRPr="005F00F4" w:rsidRDefault="000014B4" w:rsidP="00AB10D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Santiago Fisas Ayxelà, Olga Sehnalová</w:t>
            </w:r>
          </w:p>
        </w:tc>
      </w:tr>
    </w:tbl>
    <w:p w:rsidR="000014B4" w:rsidRPr="005F00F4" w:rsidRDefault="000014B4" w:rsidP="000014B4">
      <w:pPr>
        <w:autoSpaceDE w:val="0"/>
        <w:autoSpaceDN w:val="0"/>
        <w:adjustRightInd w:val="0"/>
        <w:rPr>
          <w:rFonts w:ascii="Arial" w:hAnsi="Arial" w:cs="Arial"/>
          <w:szCs w:val="24"/>
        </w:rPr>
      </w:pPr>
    </w:p>
    <w:bookmarkEnd w:id="1"/>
    <w:p w:rsidR="000014B4" w:rsidRPr="005F00F4" w:rsidRDefault="000014B4" w:rsidP="000014B4">
      <w:r w:rsidRPr="005F00F4">
        <w:br w:type="page"/>
      </w:r>
      <w:bookmarkStart w:id="2" w:name="_GoBack"/>
      <w:bookmarkEnd w:id="2"/>
    </w:p>
    <w:p w:rsidR="000014B4" w:rsidRPr="005F00F4" w:rsidRDefault="000014B4" w:rsidP="000014B4">
      <w:pPr>
        <w:pStyle w:val="PageHeadingNotTOC"/>
      </w:pPr>
      <w:bookmarkStart w:id="3" w:name="RollCallPageAD"/>
      <w:r w:rsidRPr="005F00F4">
        <w:lastRenderedPageBreak/>
        <w:t>ПОИМЕННО ОКОНЧАТЕЛНО ГЛАСУВАНЕ В ПОДПОМАГАЩАТА КОМИСИЯ</w:t>
      </w:r>
    </w:p>
    <w:tbl>
      <w:tblPr>
        <w:tblW w:w="9072" w:type="dxa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0014B4" w:rsidRPr="005F00F4" w:rsidTr="00AB10DE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0014B4" w:rsidRPr="005F00F4" w:rsidRDefault="000014B4" w:rsidP="00AB10DE">
            <w:pPr>
              <w:spacing w:before="120" w:after="120"/>
              <w:jc w:val="center"/>
              <w:rPr>
                <w:b/>
                <w:sz w:val="20"/>
              </w:rPr>
            </w:pPr>
            <w:r w:rsidRPr="005F00F4">
              <w:rPr>
                <w:b/>
                <w:sz w:val="20"/>
              </w:rPr>
              <w:t>28</w:t>
            </w:r>
          </w:p>
        </w:tc>
        <w:tc>
          <w:tcPr>
            <w:tcW w:w="7371" w:type="dxa"/>
            <w:shd w:val="pct10" w:color="000000" w:fill="FFFFFF"/>
          </w:tcPr>
          <w:p w:rsidR="000014B4" w:rsidRPr="005F00F4" w:rsidRDefault="000014B4" w:rsidP="00AB10DE">
            <w:pPr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F00F4">
              <w:rPr>
                <w:rFonts w:ascii="Arial" w:hAnsi="Arial"/>
                <w:b/>
                <w:sz w:val="28"/>
                <w:szCs w:val="28"/>
              </w:rPr>
              <w:t>+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ALDE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Ivan Jakovčić, Matthijs van Miltenburg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ECR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color w:val="000000"/>
                <w:sz w:val="20"/>
              </w:rPr>
              <w:t>Sławomir Kłosowski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GUE/NGL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David Martin, Younous Omarjee, Dimitrios Papadimoulis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PPE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color w:val="000000"/>
                <w:sz w:val="20"/>
              </w:rPr>
            </w:pPr>
            <w:r w:rsidRPr="005F00F4">
              <w:rPr>
                <w:color w:val="000000"/>
                <w:sz w:val="20"/>
              </w:rPr>
              <w:t>Pascal Arimont, Andor Deli, Santiago Fisas Ayxelà, Krzysztof Hetman, Marc Joulaud,  Ivana Maletić, Andrey Novakov, Stanislav Polčák, Fernando Ruas, Maria Spyraki, Lambert van Nistelrooij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S&amp;D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color w:val="000000"/>
                <w:sz w:val="20"/>
              </w:rPr>
              <w:t>Mercedes Bresso, Andrea Cozzolino, John Howarth, Constanze Krehl, , Louis-Joseph Manscour, Jens Nilsson, Georgi Pirinski, Liliana Rodrigues, Olga Sehnalová, Kerstin Westphal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color w:val="000000"/>
                <w:sz w:val="20"/>
              </w:rPr>
              <w:t>Bronis Ropė</w:t>
            </w:r>
          </w:p>
        </w:tc>
      </w:tr>
    </w:tbl>
    <w:p w:rsidR="000014B4" w:rsidRPr="005F00F4" w:rsidRDefault="000014B4" w:rsidP="000014B4"/>
    <w:tbl>
      <w:tblPr>
        <w:tblW w:w="9072" w:type="dxa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0014B4" w:rsidRPr="005F00F4" w:rsidTr="00AB10DE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0014B4" w:rsidRPr="005F00F4" w:rsidRDefault="000014B4" w:rsidP="00AB10DE">
            <w:pPr>
              <w:spacing w:before="120" w:after="120"/>
              <w:jc w:val="center"/>
              <w:rPr>
                <w:b/>
                <w:sz w:val="16"/>
              </w:rPr>
            </w:pPr>
            <w:r w:rsidRPr="005F00F4">
              <w:rPr>
                <w:b/>
                <w:sz w:val="20"/>
              </w:rPr>
              <w:t>3</w:t>
            </w:r>
          </w:p>
        </w:tc>
        <w:tc>
          <w:tcPr>
            <w:tcW w:w="7371" w:type="dxa"/>
            <w:shd w:val="pct10" w:color="000000" w:fill="FFFFFF"/>
          </w:tcPr>
          <w:p w:rsidR="000014B4" w:rsidRPr="005F00F4" w:rsidRDefault="000014B4" w:rsidP="00AB10DE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F00F4">
              <w:rPr>
                <w:rFonts w:ascii="Arial" w:hAnsi="Arial"/>
                <w:b/>
                <w:sz w:val="28"/>
                <w:szCs w:val="28"/>
              </w:rPr>
              <w:t>-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EFDD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James Carver, Raymond Finch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NI</w:t>
            </w:r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Konstantinos Papadakis</w:t>
            </w:r>
          </w:p>
        </w:tc>
      </w:tr>
    </w:tbl>
    <w:p w:rsidR="000014B4" w:rsidRPr="005F00F4" w:rsidRDefault="000014B4" w:rsidP="000014B4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0014B4" w:rsidRPr="005F00F4" w:rsidTr="00AB10DE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0014B4" w:rsidRPr="005F00F4" w:rsidRDefault="000014B4" w:rsidP="00AB10DE">
            <w:pPr>
              <w:spacing w:before="120" w:after="120"/>
              <w:jc w:val="center"/>
              <w:rPr>
                <w:b/>
                <w:sz w:val="16"/>
              </w:rPr>
            </w:pPr>
            <w:r w:rsidRPr="005F00F4">
              <w:rPr>
                <w:b/>
                <w:sz w:val="20"/>
              </w:rPr>
              <w:t>1</w:t>
            </w:r>
          </w:p>
        </w:tc>
        <w:tc>
          <w:tcPr>
            <w:tcW w:w="7371" w:type="dxa"/>
            <w:shd w:val="pct10" w:color="000000" w:fill="FFFFFF"/>
          </w:tcPr>
          <w:p w:rsidR="000014B4" w:rsidRPr="005F00F4" w:rsidRDefault="000014B4" w:rsidP="00AB10DE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F00F4">
              <w:rPr>
                <w:rFonts w:ascii="Arial" w:hAnsi="Arial"/>
                <w:b/>
                <w:sz w:val="28"/>
                <w:szCs w:val="28"/>
              </w:rPr>
              <w:t>0</w:t>
            </w:r>
          </w:p>
        </w:tc>
      </w:tr>
      <w:tr w:rsidR="000014B4" w:rsidRPr="005F00F4" w:rsidTr="00AB10DE">
        <w:trPr>
          <w:cantSplit/>
        </w:trPr>
        <w:tc>
          <w:tcPr>
            <w:tcW w:w="170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EFDD</w:t>
            </w:r>
            <w:bookmarkStart w:id="4" w:name="DocEPLastPosition"/>
            <w:bookmarkEnd w:id="4"/>
          </w:p>
        </w:tc>
        <w:tc>
          <w:tcPr>
            <w:tcW w:w="7371" w:type="dxa"/>
            <w:shd w:val="clear" w:color="auto" w:fill="FFFFFF"/>
          </w:tcPr>
          <w:p w:rsidR="000014B4" w:rsidRPr="005F00F4" w:rsidRDefault="000014B4" w:rsidP="00AB10DE">
            <w:pPr>
              <w:spacing w:before="120" w:after="120"/>
              <w:rPr>
                <w:sz w:val="20"/>
              </w:rPr>
            </w:pPr>
            <w:r w:rsidRPr="005F00F4">
              <w:rPr>
                <w:sz w:val="20"/>
              </w:rPr>
              <w:t>Rosa D'Amato</w:t>
            </w:r>
          </w:p>
        </w:tc>
      </w:tr>
    </w:tbl>
    <w:p w:rsidR="000014B4" w:rsidRPr="005F00F4" w:rsidRDefault="000014B4" w:rsidP="000014B4">
      <w:pPr>
        <w:pStyle w:val="Normal12"/>
      </w:pPr>
    </w:p>
    <w:p w:rsidR="000014B4" w:rsidRPr="005F00F4" w:rsidRDefault="000014B4" w:rsidP="000014B4">
      <w:r w:rsidRPr="005F00F4">
        <w:t>Легенда на използваните знаци:</w:t>
      </w:r>
    </w:p>
    <w:p w:rsidR="000014B4" w:rsidRPr="005F00F4" w:rsidRDefault="000014B4" w:rsidP="000014B4">
      <w:pPr>
        <w:pStyle w:val="NormalTabs"/>
      </w:pPr>
      <w:r w:rsidRPr="005F00F4">
        <w:t>+</w:t>
      </w:r>
      <w:r w:rsidRPr="005F00F4">
        <w:tab/>
        <w:t>:</w:t>
      </w:r>
      <w:r w:rsidRPr="005F00F4">
        <w:tab/>
        <w:t>„за“</w:t>
      </w:r>
    </w:p>
    <w:p w:rsidR="000014B4" w:rsidRPr="005F00F4" w:rsidRDefault="000014B4" w:rsidP="000014B4">
      <w:pPr>
        <w:pStyle w:val="NormalTabs"/>
      </w:pPr>
      <w:r w:rsidRPr="005F00F4">
        <w:t>-</w:t>
      </w:r>
      <w:r w:rsidRPr="005F00F4">
        <w:tab/>
        <w:t>:</w:t>
      </w:r>
      <w:r w:rsidRPr="005F00F4">
        <w:tab/>
        <w:t>„против“</w:t>
      </w:r>
    </w:p>
    <w:p w:rsidR="000014B4" w:rsidRPr="005F00F4" w:rsidRDefault="000014B4" w:rsidP="000014B4">
      <w:pPr>
        <w:pStyle w:val="NormalTabs"/>
      </w:pPr>
      <w:r w:rsidRPr="005F00F4">
        <w:t>0</w:t>
      </w:r>
      <w:r w:rsidRPr="005F00F4">
        <w:tab/>
        <w:t>:</w:t>
      </w:r>
      <w:r w:rsidRPr="005F00F4">
        <w:tab/>
        <w:t>„въздържал се“</w:t>
      </w:r>
    </w:p>
    <w:p w:rsidR="000014B4" w:rsidRPr="005F00F4" w:rsidRDefault="000014B4" w:rsidP="000014B4"/>
    <w:bookmarkEnd w:id="3"/>
    <w:p w:rsidR="000014B4" w:rsidRPr="005F00F4" w:rsidRDefault="000014B4" w:rsidP="000014B4"/>
    <w:p w:rsidR="00DA29BB" w:rsidRPr="005F00F4" w:rsidRDefault="00DA29BB" w:rsidP="000014B4">
      <w:pPr>
        <w:pStyle w:val="RefProc"/>
      </w:pPr>
    </w:p>
    <w:sectPr w:rsidR="00DA29BB" w:rsidRPr="005F00F4" w:rsidSect="005F00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5F2" w:rsidRPr="005F00F4" w:rsidRDefault="001815F2">
      <w:r w:rsidRPr="005F00F4">
        <w:separator/>
      </w:r>
    </w:p>
  </w:endnote>
  <w:endnote w:type="continuationSeparator" w:id="0">
    <w:p w:rsidR="001815F2" w:rsidRPr="005F00F4" w:rsidRDefault="001815F2">
      <w:r w:rsidRPr="005F00F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0F4" w:rsidRPr="005F00F4" w:rsidRDefault="005F00F4" w:rsidP="005F00F4">
    <w:pPr>
      <w:pStyle w:val="Footer"/>
    </w:pPr>
    <w:r w:rsidRPr="005F00F4">
      <w:t>PE</w:t>
    </w:r>
    <w:r w:rsidRPr="005F00F4">
      <w:rPr>
        <w:rStyle w:val="HideTWBExt"/>
        <w:noProof w:val="0"/>
      </w:rPr>
      <w:t>&lt;NoPE&gt;</w:t>
    </w:r>
    <w:r w:rsidRPr="005F00F4">
      <w:t>606.253</w:t>
    </w:r>
    <w:r w:rsidRPr="005F00F4">
      <w:rPr>
        <w:rStyle w:val="HideTWBExt"/>
        <w:noProof w:val="0"/>
      </w:rPr>
      <w:t>&lt;/NoPE&gt;&lt;Version&gt;</w:t>
    </w:r>
    <w:r w:rsidRPr="005F00F4">
      <w:t>v02-00</w:t>
    </w:r>
    <w:r w:rsidRPr="005F00F4">
      <w:rPr>
        <w:rStyle w:val="HideTWBExt"/>
        <w:noProof w:val="0"/>
      </w:rPr>
      <w:t>&lt;/Version&gt;</w:t>
    </w:r>
    <w:r w:rsidRPr="005F00F4">
      <w:tab/>
    </w:r>
    <w:r w:rsidRPr="005F00F4">
      <w:fldChar w:fldCharType="begin"/>
    </w:r>
    <w:r w:rsidRPr="005F00F4">
      <w:instrText xml:space="preserve"> PAGE  \* MERGEFORMAT </w:instrText>
    </w:r>
    <w:r w:rsidRPr="005F00F4">
      <w:fldChar w:fldCharType="separate"/>
    </w:r>
    <w:r w:rsidR="00027A80">
      <w:rPr>
        <w:noProof/>
      </w:rPr>
      <w:t>6</w:t>
    </w:r>
    <w:r w:rsidRPr="005F00F4">
      <w:fldChar w:fldCharType="end"/>
    </w:r>
    <w:r w:rsidRPr="005F00F4">
      <w:t>/</w:t>
    </w:r>
    <w:r w:rsidR="00027A80">
      <w:fldChar w:fldCharType="begin"/>
    </w:r>
    <w:r w:rsidR="00027A80">
      <w:instrText xml:space="preserve"> NUMPAGES  \* MERGEFORMAT </w:instrText>
    </w:r>
    <w:r w:rsidR="00027A80">
      <w:fldChar w:fldCharType="separate"/>
    </w:r>
    <w:r w:rsidR="00027A80">
      <w:rPr>
        <w:noProof/>
      </w:rPr>
      <w:t>7</w:t>
    </w:r>
    <w:r w:rsidR="00027A80">
      <w:fldChar w:fldCharType="end"/>
    </w:r>
    <w:r w:rsidRPr="005F00F4">
      <w:tab/>
    </w:r>
    <w:r w:rsidRPr="005F00F4">
      <w:rPr>
        <w:rStyle w:val="HideTWBExt"/>
        <w:noProof w:val="0"/>
      </w:rPr>
      <w:t>&lt;PathFdR&gt;</w:t>
    </w:r>
    <w:r w:rsidRPr="005F00F4">
      <w:t>AD\1133857BG.docx</w:t>
    </w:r>
    <w:r w:rsidRPr="005F00F4">
      <w:rPr>
        <w:rStyle w:val="HideTWBExt"/>
        <w:noProof w:val="0"/>
      </w:rPr>
      <w:t>&lt;/PathFdR&gt;</w:t>
    </w:r>
  </w:p>
  <w:p w:rsidR="002E2F2E" w:rsidRPr="005F00F4" w:rsidRDefault="005F00F4" w:rsidP="005F00F4">
    <w:pPr>
      <w:pStyle w:val="Footer2"/>
    </w:pPr>
    <w:r w:rsidRPr="005F00F4">
      <w:t>BG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0F4" w:rsidRPr="005F00F4" w:rsidRDefault="005F00F4" w:rsidP="005F00F4">
    <w:pPr>
      <w:pStyle w:val="Footer"/>
    </w:pPr>
    <w:r w:rsidRPr="005F00F4">
      <w:rPr>
        <w:rStyle w:val="HideTWBExt"/>
        <w:noProof w:val="0"/>
      </w:rPr>
      <w:t>&lt;PathFdR&gt;</w:t>
    </w:r>
    <w:r w:rsidRPr="005F00F4">
      <w:t>AD\1133857BG.docx</w:t>
    </w:r>
    <w:r w:rsidRPr="005F00F4">
      <w:rPr>
        <w:rStyle w:val="HideTWBExt"/>
        <w:noProof w:val="0"/>
      </w:rPr>
      <w:t>&lt;/PathFdR&gt;</w:t>
    </w:r>
    <w:r w:rsidRPr="005F00F4">
      <w:tab/>
    </w:r>
    <w:r w:rsidRPr="005F00F4">
      <w:fldChar w:fldCharType="begin"/>
    </w:r>
    <w:r w:rsidRPr="005F00F4">
      <w:instrText xml:space="preserve"> PAGE  \* MERGEFORMAT </w:instrText>
    </w:r>
    <w:r w:rsidRPr="005F00F4">
      <w:fldChar w:fldCharType="separate"/>
    </w:r>
    <w:r w:rsidR="00027A80">
      <w:rPr>
        <w:noProof/>
      </w:rPr>
      <w:t>7</w:t>
    </w:r>
    <w:r w:rsidRPr="005F00F4">
      <w:fldChar w:fldCharType="end"/>
    </w:r>
    <w:r w:rsidRPr="005F00F4">
      <w:t>/</w:t>
    </w:r>
    <w:r w:rsidR="00027A80">
      <w:fldChar w:fldCharType="begin"/>
    </w:r>
    <w:r w:rsidR="00027A80">
      <w:instrText xml:space="preserve"> NUMPAGES  \* MERGEFORMAT </w:instrText>
    </w:r>
    <w:r w:rsidR="00027A80">
      <w:fldChar w:fldCharType="separate"/>
    </w:r>
    <w:r w:rsidR="00027A80">
      <w:rPr>
        <w:noProof/>
      </w:rPr>
      <w:t>7</w:t>
    </w:r>
    <w:r w:rsidR="00027A80">
      <w:fldChar w:fldCharType="end"/>
    </w:r>
    <w:r w:rsidRPr="005F00F4">
      <w:tab/>
      <w:t>PE</w:t>
    </w:r>
    <w:r w:rsidRPr="005F00F4">
      <w:rPr>
        <w:rStyle w:val="HideTWBExt"/>
        <w:noProof w:val="0"/>
      </w:rPr>
      <w:t>&lt;NoPE&gt;</w:t>
    </w:r>
    <w:r w:rsidRPr="005F00F4">
      <w:t>606.253</w:t>
    </w:r>
    <w:r w:rsidRPr="005F00F4">
      <w:rPr>
        <w:rStyle w:val="HideTWBExt"/>
        <w:noProof w:val="0"/>
      </w:rPr>
      <w:t>&lt;/NoPE&gt;&lt;Version&gt;</w:t>
    </w:r>
    <w:r w:rsidRPr="005F00F4">
      <w:t>v02-00</w:t>
    </w:r>
    <w:r w:rsidRPr="005F00F4">
      <w:rPr>
        <w:rStyle w:val="HideTWBExt"/>
        <w:noProof w:val="0"/>
      </w:rPr>
      <w:t>&lt;/Version&gt;</w:t>
    </w:r>
  </w:p>
  <w:p w:rsidR="002E2F2E" w:rsidRPr="005F00F4" w:rsidRDefault="005F00F4" w:rsidP="005F00F4">
    <w:pPr>
      <w:pStyle w:val="Footer2"/>
    </w:pPr>
    <w:r w:rsidRPr="005F00F4">
      <w:tab/>
      <w:t>BG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0F4" w:rsidRPr="005F00F4" w:rsidRDefault="005F00F4" w:rsidP="005F00F4">
    <w:pPr>
      <w:pStyle w:val="Footer"/>
    </w:pPr>
    <w:r w:rsidRPr="005F00F4">
      <w:rPr>
        <w:rStyle w:val="HideTWBExt"/>
        <w:noProof w:val="0"/>
      </w:rPr>
      <w:t>&lt;PathFdR&gt;</w:t>
    </w:r>
    <w:r w:rsidRPr="005F00F4">
      <w:t>AD\1133857BG.docx</w:t>
    </w:r>
    <w:r w:rsidRPr="005F00F4">
      <w:rPr>
        <w:rStyle w:val="HideTWBExt"/>
        <w:noProof w:val="0"/>
      </w:rPr>
      <w:t>&lt;/PathFdR&gt;</w:t>
    </w:r>
    <w:r w:rsidRPr="005F00F4">
      <w:tab/>
    </w:r>
    <w:r w:rsidRPr="005F00F4">
      <w:tab/>
      <w:t>PE</w:t>
    </w:r>
    <w:r w:rsidRPr="005F00F4">
      <w:rPr>
        <w:rStyle w:val="HideTWBExt"/>
        <w:noProof w:val="0"/>
      </w:rPr>
      <w:t>&lt;NoPE&gt;</w:t>
    </w:r>
    <w:r w:rsidRPr="005F00F4">
      <w:t>606.253</w:t>
    </w:r>
    <w:r w:rsidRPr="005F00F4">
      <w:rPr>
        <w:rStyle w:val="HideTWBExt"/>
        <w:noProof w:val="0"/>
      </w:rPr>
      <w:t>&lt;/NoPE&gt;&lt;Version&gt;</w:t>
    </w:r>
    <w:r w:rsidRPr="005F00F4">
      <w:t>v02-00</w:t>
    </w:r>
    <w:r w:rsidRPr="005F00F4">
      <w:rPr>
        <w:rStyle w:val="HideTWBExt"/>
        <w:noProof w:val="0"/>
      </w:rPr>
      <w:t>&lt;/Version&gt;</w:t>
    </w:r>
  </w:p>
  <w:p w:rsidR="002E2F2E" w:rsidRPr="005F00F4" w:rsidRDefault="005F00F4" w:rsidP="005F00F4">
    <w:pPr>
      <w:pStyle w:val="Footer2"/>
      <w:tabs>
        <w:tab w:val="center" w:pos="4535"/>
      </w:tabs>
    </w:pPr>
    <w:r w:rsidRPr="005F00F4">
      <w:t>BG</w:t>
    </w:r>
    <w:r w:rsidRPr="005F00F4">
      <w:tab/>
    </w:r>
    <w:r w:rsidRPr="005F00F4">
      <w:rPr>
        <w:b w:val="0"/>
        <w:i/>
        <w:color w:val="C0C0C0"/>
        <w:sz w:val="22"/>
      </w:rPr>
      <w:t>Единство в многообразието</w:t>
    </w:r>
    <w:r w:rsidRPr="005F00F4">
      <w:tab/>
      <w:t>BG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5F2" w:rsidRPr="005F00F4" w:rsidRDefault="001815F2">
      <w:r w:rsidRPr="005F00F4">
        <w:separator/>
      </w:r>
    </w:p>
  </w:footnote>
  <w:footnote w:type="continuationSeparator" w:id="0">
    <w:p w:rsidR="001815F2" w:rsidRPr="005F00F4" w:rsidRDefault="001815F2">
      <w:r w:rsidRPr="005F00F4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80" w:rsidRDefault="00027A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80" w:rsidRDefault="00027A8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80" w:rsidRDefault="00027A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36A4C3E"/>
    <w:multiLevelType w:val="hybridMultilevel"/>
    <w:tmpl w:val="46E64EB4"/>
    <w:numStyleLink w:val="Nombres"/>
  </w:abstractNum>
  <w:abstractNum w:abstractNumId="11" w15:restartNumberingAfterBreak="0">
    <w:nsid w:val="33BF5D7B"/>
    <w:multiLevelType w:val="hybridMultilevel"/>
    <w:tmpl w:val="047C4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8A5B27"/>
    <w:multiLevelType w:val="hybridMultilevel"/>
    <w:tmpl w:val="46E64EB4"/>
    <w:styleLink w:val="Nombres"/>
    <w:lvl w:ilvl="0" w:tplc="DF6CCCF0">
      <w:start w:val="1"/>
      <w:numFmt w:val="decimal"/>
      <w:lvlText w:val="%1."/>
      <w:lvlJc w:val="left"/>
      <w:pPr>
        <w:ind w:left="2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FAEB066">
      <w:start w:val="1"/>
      <w:numFmt w:val="decimal"/>
      <w:lvlText w:val="%2."/>
      <w:lvlJc w:val="left"/>
      <w:pPr>
        <w:ind w:left="10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B44EB28">
      <w:start w:val="1"/>
      <w:numFmt w:val="decimal"/>
      <w:lvlText w:val="%3."/>
      <w:lvlJc w:val="left"/>
      <w:pPr>
        <w:ind w:left="18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56E2258">
      <w:start w:val="1"/>
      <w:numFmt w:val="decimal"/>
      <w:lvlText w:val="%4."/>
      <w:lvlJc w:val="left"/>
      <w:pPr>
        <w:ind w:left="26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E20EAC6">
      <w:start w:val="1"/>
      <w:numFmt w:val="decimal"/>
      <w:lvlText w:val="%5."/>
      <w:lvlJc w:val="left"/>
      <w:pPr>
        <w:ind w:left="34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CC40398">
      <w:start w:val="1"/>
      <w:numFmt w:val="decimal"/>
      <w:lvlText w:val="%6."/>
      <w:lvlJc w:val="left"/>
      <w:pPr>
        <w:ind w:left="42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E60E70">
      <w:start w:val="1"/>
      <w:numFmt w:val="decimal"/>
      <w:lvlText w:val="%7."/>
      <w:lvlJc w:val="left"/>
      <w:pPr>
        <w:ind w:left="50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410A080">
      <w:start w:val="1"/>
      <w:numFmt w:val="decimal"/>
      <w:lvlText w:val="%8."/>
      <w:lvlJc w:val="left"/>
      <w:pPr>
        <w:ind w:left="58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23A74A4">
      <w:start w:val="1"/>
      <w:numFmt w:val="decimal"/>
      <w:lvlText w:val="%9."/>
      <w:lvlJc w:val="left"/>
      <w:pPr>
        <w:ind w:left="6653" w:hanging="25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58F327E6"/>
    <w:multiLevelType w:val="hybridMultilevel"/>
    <w:tmpl w:val="9F5C1A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11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JMNU" w:val="1"/>
    <w:docVar w:name="COM2KEY" w:val="BUDG"/>
    <w:docVar w:name="COMKEY" w:val="REGI"/>
    <w:docVar w:name="CopyToNetwork" w:val="-1"/>
    <w:docVar w:name="LastEditedSection" w:val=" 1"/>
    <w:docVar w:name="PROCMNU" w:val=" 2"/>
    <w:docVar w:name="RepeatBlock-AmendEN" w:val="{\rtf1\adeflang1025\ansi\ansicpg1252\uc1\adeff0\deff0\stshfdbch0\stshfloch0\stshfhich0\stshfbi0\deflang2057\deflangfe2057\themelang2057\themelangfe0\themelangcs0{\fonttbl{\f0\fbidi \froman\fcharset0\fprq2{\*\panose 02020603050405020304}Times New Roman;}{\f34\fbidi \froman\fcharset0\fprq2{\*\panose 02040503050406030204}Cambria Math;}_x000d__x000a_{\flomajor\f31500\fbidi \froman\fcharset0\fprq2{\*\panose 02020603050405020304}Times New Roman;}{\fdbmajor\f31501\fbidi \froman\fcharset0\fprq2{\*\panose 02020603050405020304}Times New Roman;}_x000d__x000a_{\fhimajor\f31502\fbidi \fswiss\fcharset0\fprq2{\*\panose 020f0302020204030204}Calibri Light;}{\fbimajor\f31503\fbidi \froman\fcharset0\fprq2{\*\panose 02020603050405020304}Times New Roman;}_x000d__x000a_{\flominor\f31504\fbidi \froman\fcharset0\fprq2{\*\panose 02020603050405020304}Times New Roman;}{\fdbminor\f31505\fbidi \froman\fcharset0\fprq2{\*\panose 02020603050405020304}Times New Roman;}_x000d__x000a_{\fhiminor\f31506\fbidi \fswiss\fcharset0\fprq2{\*\panose 020f0502020204030204}Calibri;}{\fbiminor\f31507\fbidi \froman\fcharset0\fprq2{\*\panose 02020603050405020304}Times New Roman;}{\f310\fbidi \froman\fcharset238\fprq2 Times New Roman CE;}_x000d__x000a_{\f311\fbidi \froman\fcharset204\fprq2 Times New Roman Cyr;}{\f313\fbidi \froman\fcharset161\fprq2 Times New Roman Greek;}{\f314\fbidi \froman\fcharset162\fprq2 Times New Roman Tur;}{\f315\fbidi \froman\fcharset177\fprq2 Times New Roman (Hebrew);}_x000d__x000a_{\f316\fbidi \froman\fcharset178\fprq2 Times New Roman (Arabic);}{\f317\fbidi \froman\fcharset186\fprq2 Times New Roman Baltic;}{\f318\fbidi \froman\fcharset163\fprq2 Times New Roman (Vietnamese);}{\f650\fbidi \froman\fcharset238\fprq2 Cambria Math CE;}_x000d__x000a_{\f651\fbidi \froman\fcharset204\fprq2 Cambria Math Cyr;}{\f653\fbidi \froman\fcharset161\fprq2 Cambria Math Greek;}{\f654\fbidi \froman\fcharset162\fprq2 Cambria Math Tur;}{\f657\fbidi \froman\fcharset186\fprq2 Cambria Math Baltic;}_x000d__x000a_{\f658\fbidi \froman\fcharset163\fprq2 Cambria Math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5\fbidi \fswiss\fcharset186\fprq2 Calibri Light Baltic;}{\fhimajor\f31536\fbidi \fswiss\fcharset163\fprq2 Calibri Light (Vietnamese);}{\fbimajor\f31538\fbidi \froman\fcharset238\fprq2 Times New Roman CE;}_x000d__x000a_{\fbimajor\f31539\fbidi \froman\fcharset204\fprq2 Times New Roman Cyr;}{\fbimajor\f31541\fbidi \froman\fcharset161\fprq2 Times New Roman Greek;}{\fbimajor\f31542\fbidi \froman\fcharset162\fprq2 Times New Roman Tur;}_x000d__x000a_{\fbimajor\f31543\fbidi \froman\fcharset177\fprq2 Times New Roman (Hebrew);}{\fbimajor\f31544\fbidi \froman\fcharset178\fprq2 Times New Roman (Arabic);}{\fbimajor\f31545\fbidi \froman\fcharset186\fprq2 Times New Roman Baltic;}_x000d__x000a_{\fbimajor\f31546\fbidi \froman\fcharset163\fprq2 Times New Roman (Vietnamese)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5\fbidi \fswiss\fcharset186\fprq2 Calibri Baltic;}{\fhiminor\f31576\fbidi \fswiss\fcharset163\fprq2 Calibri (Vietnamese);}{\fbiminor\f31578\fbidi \froman\fcharset238\fprq2 Times New Roman CE;}_x000d__x000a_{\fbiminor\f31579\fbidi \froman\fcharset204\fprq2 Times New Roman Cyr;}{\fbiminor\f31581\fbidi \froman\fcharset161\fprq2 Times New Roman Greek;}{\fbiminor\f31582\fbidi \froman\fcharset162\fprq2 Times New Roman Tur;}_x000d__x000a_{\fbiminor\f31583\fbidi \froman\fcharset177\fprq2 Times New Roman (Hebrew);}{\fbiminor\f31584\fbidi \froman\fcharset178\fprq2 Times New Roman (Arabic);}{\fbiminor\f31585\fbidi \froman\fcharset186\fprq2 Times New Roman Baltic;}_x000d__x000a_{\fbiminor\f31586\fbidi \froman\fcharset163\fprq2 Times New Roman (Vietnamese);}}{\colortbl;\red0\green0\blue0;\red0\green0\blue255;\red0\green255\blue255;\red0\green255\blue0;\red255\green0\blue255;\red255\green0\blue0;\red255\green255\blue0;_x000d__x000a_\red255\green255\blue255;\red0\green0\blue128;\red0\green128\blue128;\red0\green128\blue0;\red128\green0\blue128;\red128\green0\blue0;\red128\green128\blue0;\red128\green128\blue128;\red192\green192\blue192;}{\*\defchp }{\*\defpap _x000d__x000a_\ql \li0\ri0\widctlpar\wrapdefault\aspalpha\aspnum\faauto\adjustright\rin0\lin0\itap0 }\noqfpromote {\stylesheet{\ql \li0\ri0\widctlpar\wrapdefault\aspalpha\aspnum\faauto\adjustright\rin0\lin0\itap0 \rtlch\fcs1 \af0\afs20\alang1025 \ltrch\fcs0 _x000d__x000a_\fs24\lang2057\langfe2057\cgrid\langnp2057\langfenp2057 \snext0 \sqformat \spriority0 Normal;}{\*\cs10 \additive \ssemihidden \spriority0 Default Paragraph Font;}{\*_x000d__x000a_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cf15 \spriority0 \styrsid16124169 HideTWBInt;}{\s16\ql \fi-567\li567\ri0\sa240\nowidctlpar\wrapdefault\aspalpha\aspnum\faauto\adjustright\rin0\lin567\itap0 \rtlch\fcs1 \af0\afs20\alang1025 \ltrch\fcs0 _x000d__x000a_\fs24\lang2057\langfe2057\cgrid\langnp2057\langfenp2057 \sbasedon0 \snext16 \spriority0 \styrsid16124169 Normal12Hanging;}}{\*\rsidtbl \rsid24658\rsid735077\rsid2892074\rsid4666813\rsid6641733\rsid9636012\rsid11025760\rsid11215221\rsid12154954_x000d__x000a_\rsid14424199\rsid15204470\rsid15285974\rsid15950462\rsid16124169\rsid16324206\rsid16662270}{\mmathPr\mmathFont34\mbrkBin0\mbrkBinSub0\msmallFrac0\mdispDef1\mlMargin0\mrMargin0\mdefJc1\mwrapIndent1440\mintLim0\mnaryLim1}{\info{\author BUDVYTYTE Eivyda}_x000d__x000a_{\operator BUDVYTYTE Eivyda}{\creatim\yr2017\mo9\dy8\hr15\min19}{\revtim\yr2017\mo9\dy8\hr15\min19}{\version1}{\edmins0}{\nofpages1}{\nofwords1}{\nofchars12}{\*\company European Parliament}{\nofcharsws12}{\vern57443}}{\*\xmlnstbl {\xmlns1 http://schemas.m_x000d__x000a_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6124169\utinl \fet0{\*\wgrffmtfilter 013f}\ilfomacatclnup0{\*\template C:\\Users\\EBUDVY~1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102576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02576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02576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02576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fi-567\li567\ri0\sa240\nowidctlpar\wrapdefault\aspalpha\aspnum\faauto\adjustright\rin0\lin567\itap0\pararsid5141768 \rtlch\fcs1 \af0\afs20\alang1025 \ltrch\fcs0 \fs24\lang2057\langfe2057\cgrid\langnp2057\langfenp2057 {\rtlch\fcs1 \af0 _x000d__x000a_\ltrch\fcs0 \insrsid16124169\charrsid1578482 {\*\bkmkstart restart}#}{\rtlch\fcs1 \af0 \ltrch\fcs0 \cs15\v\cf15\insrsid16124169\charrsid1578482 NRMSG}{\rtlch\fcs1 \af0 \ltrch\fcs0 \insrsid16124169\charrsid1578482 #.\tab ##}{\rtlch\fcs1 \af0 \ltrch\fcs0 _x000d__x000a_\insrsid16124169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43_x000d__x000a_ad0da528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34\fbidi \froman\fcharset0\fprq2{\*\panose 02040503050406030204}Cambria Math;}_x000d__x000a_{\flomajor\f31500\fbidi \froman\fcharset0\fprq2{\*\panose 02020603050405020304}Times New Roman;}{\fdbmajor\f31501\fbidi \froman\fcharset0\fprq2{\*\panose 02020603050405020304}Times New Roman;}_x000d__x000a_{\fhimajor\f31502\fbidi \fswiss\fcharset0\fprq2{\*\panose 020f0302020204030204}Calibri Light;}{\fbimajor\f31503\fbidi \froman\fcharset0\fprq2{\*\panose 02020603050405020304}Times New Roman;}_x000d__x000a_{\flominor\f31504\fbidi \froman\fcharset0\fprq2{\*\panose 02020603050405020304}Times New Roman;}{\fdbminor\f31505\fbidi \froman\fcharset0\fprq2{\*\panose 02020603050405020304}Times New Roman;}_x000d__x000a_{\fhiminor\f31506\fbidi \fswiss\fcharset0\fprq2{\*\panose 020f0502020204030204}Calibri;}{\fbiminor\f31507\fbidi \froman\fcharset0\fprq2{\*\panose 02020603050405020304}Times New Roman;}{\f310\fbidi \froman\fcharset238\fprq2 Times New Roman CE;}_x000d__x000a_{\f311\fbidi \froman\fcharset204\fprq2 Times New Roman Cyr;}{\f313\fbidi \froman\fcharset161\fprq2 Times New Roman Greek;}{\f314\fbidi \froman\fcharset162\fprq2 Times New Roman Tur;}{\f315\fbidi \froman\fcharset177\fprq2 Times New Roman (Hebrew);}_x000d__x000a_{\f316\fbidi \froman\fcharset178\fprq2 Times New Roman (Arabic);}{\f317\fbidi \froman\fcharset186\fprq2 Times New Roman Baltic;}{\f318\fbidi \froman\fcharset163\fprq2 Times New Roman (Vietnamese);}{\f650\fbidi \froman\fcharset238\fprq2 Cambria Math CE;}_x000d__x000a_{\f651\fbidi \froman\fcharset204\fprq2 Cambria Math Cyr;}{\f653\fbidi \froman\fcharset161\fprq2 Cambria Math Greek;}{\f654\fbidi \froman\fcharset162\fprq2 Cambria Math Tur;}{\f657\fbidi \froman\fcharset186\fprq2 Cambria Math Baltic;}_x000d__x000a_{\f658\fbidi \froman\fcharset163\fprq2 Cambria Math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5\fbidi \fswiss\fcharset186\fprq2 Calibri Light Baltic;}{\fhimajor\f31536\fbidi \fswiss\fcharset163\fprq2 Calibri Light (Vietnamese);}{\fbimajor\f31538\fbidi \froman\fcharset238\fprq2 Times New Roman CE;}_x000d__x000a_{\fbimajor\f31539\fbidi \froman\fcharset204\fprq2 Times New Roman Cyr;}{\fbimajor\f31541\fbidi \froman\fcharset161\fprq2 Times New Roman Greek;}{\fbimajor\f31542\fbidi \froman\fcharset162\fprq2 Times New Roman Tur;}_x000d__x000a_{\fbimajor\f31543\fbidi \froman\fcharset177\fprq2 Times New Roman (Hebrew);}{\fbimajor\f31544\fbidi \froman\fcharset178\fprq2 Times New Roman (Arabic);}{\fbimajor\f31545\fbidi \froman\fcharset186\fprq2 Times New Roman Baltic;}_x000d__x000a_{\fbimajor\f31546\fbidi \froman\fcharset163\fprq2 Times New Roman (Vietnamese)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5\fbidi \fswiss\fcharset186\fprq2 Calibri Baltic;}{\fhiminor\f31576\fbidi \fswiss\fcharset163\fprq2 Calibri (Vietnamese);}{\fbiminor\f31578\fbidi \froman\fcharset238\fprq2 Times New Roman CE;}_x000d__x000a_{\fbiminor\f31579\fbidi \froman\fcharset204\fprq2 Times New Roman Cyr;}{\fbiminor\f31581\fbidi \froman\fcharset161\fprq2 Times New Roman Greek;}{\fbiminor\f31582\fbidi \froman\fcharset162\fprq2 Times New Roman Tur;}_x000d__x000a_{\fbiminor\f31583\fbidi \froman\fcharset177\fprq2 Times New Roman (Hebrew);}{\fbiminor\f31584\fbidi \froman\fcharset178\fprq2 Times New Roman (Arabic);}{\fbiminor\f31585\fbidi \froman\fcharset186\fprq2 Times New Roman Baltic;}_x000d__x000a_{\fbiminor\f31586\fbidi \froman\fcharset163\fprq2 Times New Roman (Vietnamese);}}{\colortbl;\red0\green0\blue0;\red0\green0\blue255;\red0\green255\blue255;\red0\green255\blue0;\red255\green0\blue255;\red255\green0\blue0;\red255\green255\blue0;_x000d__x000a_\red255\green255\blue255;\red0\green0\blue128;\red0\green128\blue128;\red0\green128\blue0;\red128\green0\blue128;\red128\green0\blue0;\red128\green128\blue0;\red128\green128\blue128;\red192\green192\blue192;}{\*\defchp }{\*\defpap _x000d__x000a_\ql \li0\ri0\widctlpar\wrapdefault\aspalpha\aspnum\faauto\adjustright\rin0\lin0\itap0 }\noqfpromote {\stylesheet{\ql \li0\ri0\widctlpar\wrapdefault\aspalpha\aspnum\faauto\adjustright\rin0\lin0\itap0 \rtlch\fcs1 \af0\afs20\alang1025 \ltrch\fcs0 _x000d__x000a_\fs24\lang2057\langfe2057\cgrid\langnp2057\langfenp2057 \snext0 \sqformat \spriority0 Normal;}{\*\cs10 \additive \ssemihidden \spriority0 Default Paragraph Font;}{\*_x000d__x000a_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_x000d__x000a_\s15\ql \fi-567\li567\ri0\sa240\nowidctlpar\wrapdefault\aspalpha\aspnum\faauto\adjustright\rin0\lin567\itap0 \rtlch\fcs1 \af0\afs20\alang1025 \ltrch\fcs0 \fs24\lang2057\langfe2057\cgrid\langnp2057\langfenp2057 _x000d__x000a_\sbasedon0 \snext15 \spriority0 \styrsid10510083 Normal12Hanging;}}{\*\rsidtbl \rsid24658\rsid735077\rsid2892074\rsid4666813\rsid6641733\rsid9636012\rsid10510083\rsid11215221\rsid12154954\rsid14424199\rsid15204470\rsid15285974\rsid15877016\rsid15950462_x000d__x000a_\rsid16324206\rsid16662270}{\mmathPr\mmathFont34\mbrkBin0\mbrkBinSub0\msmallFrac0\mdispDef1\mlMargin0\mrMargin0\mdefJc1\mwrapIndent1440\mintLim0\mnaryLim1}{\info{\author BUDVYTYTE Eivyda}{\operator BUDVYTYTE Eivyda}{\creatim\yr2017\mo9\dy8\hr15\min19}_x000d__x000a_{\revtim\yr2017\mo9\dy8\hr15\min19}{\version1}{\edmins0}{\nofpages1}{\nofwords5}{\nofchars30}{\*\company European Parliament}{\nofcharsws34}{\vern57443}}{\*\xmlnstbl {\xmlns1 http://schemas.microsoft.com/office/word/2003/wordml}}_x000d__x000a_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510083\utinl \fet0{\*\wgrffmtfilter 013f}\ilfomacatclnup0{\*\template C:\\Users\\EBUDVY~1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87701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87701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87701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877016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5\ql \fi-567\li567\ri0\sa240\nowidctlpar\wrapdefault\aspalpha\aspnum\faauto\adjustright\rin0\lin567\itap0\pararsid931602 \rtlch\fcs1 \af0\afs20\alang1025 \ltrch\fcs0 \fs24\lang2057\langfe2057\cgrid\langnp2057\langfenp2057 {\rtlch\fcs1 \af0 \ltrch\fcs0 _x000d__x000a_\insrsid10510083\charrsid1525456 {\*\bkmkstart restart}[ZSUGGESTIONNR]\tab [ZSUGGESTIONTEXT]}{\rtlch\fcs1 \af0 \ltrch\fcs0 \insrsid10510083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71_x000d__x000a_e70ea528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133"/>
    <w:docVar w:name="TXTLANGUE" w:val="EN"/>
    <w:docVar w:name="TXTLANGUEMIN" w:val="en"/>
    <w:docVar w:name="TXTNRPE" w:val="606.253"/>
    <w:docVar w:name="TXTNRPROC" w:val="2017/2044"/>
    <w:docVar w:name="TXTPEorAP" w:val="PE"/>
    <w:docVar w:name="TXTROUTE" w:val="AD\1133857EN.docx"/>
    <w:docVar w:name="TXTTITLE" w:val="General budget of the European Union for the financial year 2018 - all sections"/>
    <w:docVar w:name="TXTVERSION" w:val="02-00"/>
  </w:docVars>
  <w:rsids>
    <w:rsidRoot w:val="001815F2"/>
    <w:rsid w:val="000014B4"/>
    <w:rsid w:val="00027A80"/>
    <w:rsid w:val="00027FC7"/>
    <w:rsid w:val="000C57F2"/>
    <w:rsid w:val="000E50EE"/>
    <w:rsid w:val="000F7476"/>
    <w:rsid w:val="00101695"/>
    <w:rsid w:val="0016635E"/>
    <w:rsid w:val="001746D0"/>
    <w:rsid w:val="001815F2"/>
    <w:rsid w:val="001D2ED9"/>
    <w:rsid w:val="001E0A80"/>
    <w:rsid w:val="002018C9"/>
    <w:rsid w:val="00266090"/>
    <w:rsid w:val="002E2F2E"/>
    <w:rsid w:val="00325BCB"/>
    <w:rsid w:val="0032789D"/>
    <w:rsid w:val="003A67FB"/>
    <w:rsid w:val="003B5FD3"/>
    <w:rsid w:val="003E2402"/>
    <w:rsid w:val="004338D2"/>
    <w:rsid w:val="004C28FB"/>
    <w:rsid w:val="004F4C6E"/>
    <w:rsid w:val="005467BE"/>
    <w:rsid w:val="00550507"/>
    <w:rsid w:val="005803AD"/>
    <w:rsid w:val="00591606"/>
    <w:rsid w:val="005B2F11"/>
    <w:rsid w:val="005D60C6"/>
    <w:rsid w:val="005F00F4"/>
    <w:rsid w:val="00657AFB"/>
    <w:rsid w:val="00666413"/>
    <w:rsid w:val="00677276"/>
    <w:rsid w:val="006C3D57"/>
    <w:rsid w:val="00713D38"/>
    <w:rsid w:val="00724D78"/>
    <w:rsid w:val="0073644E"/>
    <w:rsid w:val="0079397B"/>
    <w:rsid w:val="00820D1A"/>
    <w:rsid w:val="008235FB"/>
    <w:rsid w:val="008313E7"/>
    <w:rsid w:val="00856547"/>
    <w:rsid w:val="008A32C5"/>
    <w:rsid w:val="008D1207"/>
    <w:rsid w:val="008F7002"/>
    <w:rsid w:val="00A06B3F"/>
    <w:rsid w:val="00A16BEA"/>
    <w:rsid w:val="00A72C35"/>
    <w:rsid w:val="00AC2BAF"/>
    <w:rsid w:val="00AE4F11"/>
    <w:rsid w:val="00B362F7"/>
    <w:rsid w:val="00B965F7"/>
    <w:rsid w:val="00BD1EAA"/>
    <w:rsid w:val="00D068F9"/>
    <w:rsid w:val="00DA10EB"/>
    <w:rsid w:val="00DA29BB"/>
    <w:rsid w:val="00DA5786"/>
    <w:rsid w:val="00DD1C6F"/>
    <w:rsid w:val="00E332CC"/>
    <w:rsid w:val="00E56952"/>
    <w:rsid w:val="00E71D57"/>
    <w:rsid w:val="00E856D2"/>
    <w:rsid w:val="00E91E7F"/>
    <w:rsid w:val="00E934A8"/>
    <w:rsid w:val="00F8222E"/>
    <w:rsid w:val="00F9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24C6B4-48D2-4287-89C4-2A398A42C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Footer">
    <w:name w:val="footer"/>
    <w:basedOn w:val="Normal12a12b"/>
    <w:pPr>
      <w:tabs>
        <w:tab w:val="center" w:pos="4535"/>
        <w:tab w:val="right" w:pos="9071"/>
      </w:tabs>
    </w:pPr>
    <w:rPr>
      <w:sz w:val="22"/>
    </w:rPr>
  </w:style>
  <w:style w:type="paragraph" w:customStyle="1" w:styleId="Normal12a12b">
    <w:name w:val="Normal12a12b"/>
    <w:basedOn w:val="Normal"/>
    <w:pPr>
      <w:spacing w:before="240" w:after="240"/>
    </w:pPr>
  </w:style>
  <w:style w:type="paragraph" w:customStyle="1" w:styleId="Footer2">
    <w:name w:val="Footer2"/>
    <w:basedOn w:val="Normal"/>
    <w:pPr>
      <w:widowControl/>
      <w:tabs>
        <w:tab w:val="right" w:pos="9921"/>
      </w:tabs>
      <w:spacing w:after="240"/>
      <w:ind w:left="-850" w:right="-850"/>
    </w:pPr>
    <w:rPr>
      <w:rFonts w:ascii="Arial" w:hAnsi="Arial" w:cs="Arial"/>
      <w:b/>
      <w:sz w:val="48"/>
    </w:rPr>
  </w:style>
  <w:style w:type="paragraph" w:customStyle="1" w:styleId="Normal12">
    <w:name w:val="Normal12"/>
    <w:basedOn w:val="Normal"/>
    <w:qFormat/>
    <w:pPr>
      <w:spacing w:after="240"/>
    </w:pPr>
  </w:style>
  <w:style w:type="paragraph" w:styleId="TOC1">
    <w:name w:val="toc 1"/>
    <w:basedOn w:val="Normal12"/>
    <w:next w:val="Normal12"/>
    <w:autoRedefine/>
    <w:semiHidden/>
  </w:style>
  <w:style w:type="paragraph" w:styleId="TOCHeading">
    <w:name w:val="TOC Heading"/>
    <w:basedOn w:val="Normal12"/>
    <w:next w:val="Normal12"/>
    <w:qFormat/>
    <w:pPr>
      <w:keepNext/>
      <w:spacing w:before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12"/>
    <w:next w:val="TOC1"/>
    <w:pPr>
      <w:keepNext/>
      <w:jc w:val="right"/>
    </w:pPr>
    <w:rPr>
      <w:rFonts w:ascii="Arial" w:hAnsi="Arial"/>
      <w:b/>
    </w:rPr>
  </w:style>
  <w:style w:type="character" w:customStyle="1" w:styleId="HideTWBInt">
    <w:name w:val="HideTWBInt"/>
    <w:rPr>
      <w:vanish/>
      <w:color w:val="808080"/>
    </w:rPr>
  </w:style>
  <w:style w:type="paragraph" w:customStyle="1" w:styleId="TableofEntries">
    <w:name w:val="Table of Entries"/>
    <w:basedOn w:val="Normal12"/>
    <w:pPr>
      <w:widowControl/>
      <w:tabs>
        <w:tab w:val="right" w:leader="dot" w:pos="9072"/>
      </w:tabs>
      <w:jc w:val="both"/>
    </w:pPr>
  </w:style>
  <w:style w:type="paragraph" w:customStyle="1" w:styleId="PageHeadingNotTOC">
    <w:name w:val="PageHeadingNotTOC"/>
    <w:basedOn w:val="Normal12a12b"/>
    <w:pPr>
      <w:keepNext/>
      <w:jc w:val="center"/>
    </w:pPr>
    <w:rPr>
      <w:rFonts w:ascii="Arial" w:hAnsi="Arial"/>
      <w:b/>
    </w:rPr>
  </w:style>
  <w:style w:type="paragraph" w:customStyle="1" w:styleId="Normal12Italic">
    <w:name w:val="Normal12Italic"/>
    <w:basedOn w:val="Normal12"/>
    <w:rPr>
      <w:i/>
    </w:rPr>
  </w:style>
  <w:style w:type="paragraph" w:customStyle="1" w:styleId="PageHeading">
    <w:name w:val="PageHeading"/>
    <w:basedOn w:val="Normal12a12b"/>
    <w:pPr>
      <w:keepNext/>
      <w:jc w:val="center"/>
    </w:pPr>
    <w:rPr>
      <w:rFonts w:ascii="Arial" w:hAnsi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Normal24">
    <w:name w:val="Normal24"/>
    <w:basedOn w:val="Normal"/>
    <w:pPr>
      <w:spacing w:after="480"/>
    </w:pPr>
  </w:style>
  <w:style w:type="paragraph" w:customStyle="1" w:styleId="Cover12">
    <w:name w:val="Cover12"/>
    <w:basedOn w:val="Normal12"/>
    <w:pPr>
      <w:ind w:left="1418"/>
    </w:pPr>
  </w:style>
  <w:style w:type="paragraph" w:customStyle="1" w:styleId="Cover24">
    <w:name w:val="Cover24"/>
    <w:basedOn w:val="Normal24"/>
    <w:pPr>
      <w:ind w:left="1418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numbering" w:customStyle="1" w:styleId="Nombres">
    <w:name w:val="Nombres"/>
    <w:rsid w:val="00DA29BB"/>
    <w:pPr>
      <w:numPr>
        <w:numId w:val="42"/>
      </w:numPr>
    </w:pPr>
  </w:style>
  <w:style w:type="paragraph" w:customStyle="1" w:styleId="Normal12Tab">
    <w:name w:val="Normal12Tab"/>
    <w:basedOn w:val="Normal12"/>
    <w:uiPriority w:val="99"/>
    <w:pPr>
      <w:tabs>
        <w:tab w:val="left" w:pos="357"/>
      </w:tabs>
    </w:pPr>
  </w:style>
  <w:style w:type="paragraph" w:customStyle="1" w:styleId="RefProc">
    <w:name w:val="RefProc"/>
    <w:basedOn w:val="Normal"/>
    <w:rsid w:val="005D60C6"/>
    <w:pPr>
      <w:spacing w:before="240" w:after="240"/>
      <w:jc w:val="right"/>
    </w:pPr>
    <w:rPr>
      <w:rFonts w:ascii="Arial" w:hAnsi="Arial"/>
      <w:b/>
      <w:caps/>
    </w:rPr>
  </w:style>
  <w:style w:type="paragraph" w:customStyle="1" w:styleId="TypeDoc">
    <w:name w:val="TypeDoc"/>
    <w:basedOn w:val="Normal24"/>
    <w:pPr>
      <w:ind w:left="1418"/>
    </w:pPr>
    <w:rPr>
      <w:rFonts w:ascii="Arial" w:hAnsi="Arial"/>
      <w:b/>
      <w:sz w:val="48"/>
    </w:rPr>
  </w:style>
  <w:style w:type="paragraph" w:customStyle="1" w:styleId="ZDate">
    <w:name w:val="ZDate"/>
    <w:basedOn w:val="Normal"/>
    <w:pPr>
      <w:spacing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Committee">
    <w:name w:val="ZCommittee"/>
    <w:basedOn w:val="Normal"/>
    <w:next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ZCommittee"/>
    <w:rsid w:val="001746D0"/>
    <w:pPr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840"/>
      <w:jc w:val="center"/>
    </w:pPr>
    <w:rPr>
      <w:rFonts w:ascii="Arial" w:hAnsi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paragraph" w:customStyle="1" w:styleId="Normal12Hanging">
    <w:name w:val="Normal12Hanging"/>
    <w:basedOn w:val="Normal12"/>
    <w:link w:val="Normal12HangingChar"/>
    <w:rsid w:val="008313E7"/>
    <w:pPr>
      <w:ind w:left="567" w:hanging="567"/>
    </w:pPr>
  </w:style>
  <w:style w:type="paragraph" w:styleId="BalloonText">
    <w:name w:val="Balloon Text"/>
    <w:basedOn w:val="Normal"/>
    <w:link w:val="BalloonTextChar"/>
    <w:rsid w:val="000E50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E50EE"/>
    <w:rPr>
      <w:rFonts w:ascii="Segoe UI" w:hAnsi="Segoe UI" w:cs="Segoe UI"/>
      <w:sz w:val="18"/>
      <w:szCs w:val="18"/>
    </w:rPr>
  </w:style>
  <w:style w:type="character" w:customStyle="1" w:styleId="Normal12HangingChar">
    <w:name w:val="Normal12Hanging Char"/>
    <w:basedOn w:val="DefaultParagraphFont"/>
    <w:link w:val="Normal12Hanging"/>
    <w:locked/>
    <w:rsid w:val="00101695"/>
    <w:rPr>
      <w:sz w:val="24"/>
    </w:rPr>
  </w:style>
  <w:style w:type="paragraph" w:customStyle="1" w:styleId="NormalTabs">
    <w:name w:val="NormalTabs"/>
    <w:basedOn w:val="Normal"/>
    <w:qFormat/>
    <w:rsid w:val="000014B4"/>
    <w:pPr>
      <w:tabs>
        <w:tab w:val="center" w:pos="284"/>
        <w:tab w:val="left" w:pos="426"/>
      </w:tabs>
    </w:pPr>
    <w:rPr>
      <w:snapToGrid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3AE6C-B8AE-4041-AF3E-960B55C28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8670F469.dotm</Template>
  <TotalTime>0</TotalTime>
  <Pages>1</Pages>
  <Words>1560</Words>
  <Characters>9471</Characters>
  <Application>Microsoft Office Word</Application>
  <DocSecurity>0</DocSecurity>
  <Lines>225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10948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subject/>
  <dc:creator>BUDVYTYTE Eivyda</dc:creator>
  <cp:keywords/>
  <dc:description/>
  <cp:lastModifiedBy>FILIPOVA Gergana</cp:lastModifiedBy>
  <cp:revision>2</cp:revision>
  <cp:lastPrinted>2017-09-08T15:10:00Z</cp:lastPrinted>
  <dcterms:created xsi:type="dcterms:W3CDTF">2017-09-25T08:50:00Z</dcterms:created>
  <dcterms:modified xsi:type="dcterms:W3CDTF">2017-09-25T08:50:00Z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9.0.0 Build [20170325]</vt:lpwstr>
  </property>
  <property fmtid="{D5CDD505-2E9C-101B-9397-08002B2CF9AE}" pid="3" name="LastEdited with">
    <vt:lpwstr>9.1.1 Build [20170901]</vt:lpwstr>
  </property>
  <property fmtid="{D5CDD505-2E9C-101B-9397-08002B2CF9AE}" pid="4" name="&lt;FdR&gt;">
    <vt:lpwstr>1133857</vt:lpwstr>
  </property>
  <property fmtid="{D5CDD505-2E9C-101B-9397-08002B2CF9AE}" pid="5" name="&lt;Type&gt;">
    <vt:lpwstr>AD</vt:lpwstr>
  </property>
  <property fmtid="{D5CDD505-2E9C-101B-9397-08002B2CF9AE}" pid="6" name="&lt;ModelCod&gt;">
    <vt:lpwstr>\\eiciBRUpr1\pdocep$\DocEP\DOCS\General\PA\PA_NonLeg.dot(15/06/2017 17:43:32)</vt:lpwstr>
  </property>
  <property fmtid="{D5CDD505-2E9C-101B-9397-08002B2CF9AE}" pid="7" name="&lt;ModelTra&gt;">
    <vt:lpwstr>\\eiciBRUpr1\pdocep$\DocEP\TRANSFIL\EN\PA_NonLeg.EN(01/02/2017 19:08:11)</vt:lpwstr>
  </property>
  <property fmtid="{D5CDD505-2E9C-101B-9397-08002B2CF9AE}" pid="8" name="&lt;Model&gt;">
    <vt:lpwstr>PA_NonLeg</vt:lpwstr>
  </property>
  <property fmtid="{D5CDD505-2E9C-101B-9397-08002B2CF9AE}" pid="9" name="FooterPath">
    <vt:lpwstr>AD\1133857BG.docx</vt:lpwstr>
  </property>
  <property fmtid="{D5CDD505-2E9C-101B-9397-08002B2CF9AE}" pid="10" name="PE number">
    <vt:lpwstr>606.253</vt:lpwstr>
  </property>
  <property fmtid="{D5CDD505-2E9C-101B-9397-08002B2CF9AE}" pid="11" name="SendToEpades">
    <vt:lpwstr>OK - 2017/09/08 17:56</vt:lpwstr>
  </property>
  <property fmtid="{D5CDD505-2E9C-101B-9397-08002B2CF9AE}" pid="12" name="SubscribeElise">
    <vt:lpwstr/>
  </property>
  <property fmtid="{D5CDD505-2E9C-101B-9397-08002B2CF9AE}" pid="13" name="SDLStudio">
    <vt:lpwstr/>
  </property>
  <property fmtid="{D5CDD505-2E9C-101B-9397-08002B2CF9AE}" pid="14" name="&lt;Extension&gt;">
    <vt:lpwstr>BG</vt:lpwstr>
  </property>
  <property fmtid="{D5CDD505-2E9C-101B-9397-08002B2CF9AE}" pid="15" name="Bookout">
    <vt:lpwstr>OK - 2017/09/25 10:50</vt:lpwstr>
  </property>
</Properties>
</file>